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66" w:rsidRDefault="009C7566" w:rsidP="009C7566">
      <w:pPr>
        <w:ind w:left="-360" w:right="-108"/>
        <w:jc w:val="right"/>
        <w:rPr>
          <w:b/>
        </w:rPr>
      </w:pPr>
      <w:r>
        <w:rPr>
          <w:b/>
        </w:rPr>
        <w:t>Faruk Turinay</w:t>
      </w:r>
      <w:r>
        <w:rPr>
          <w:rStyle w:val="FootnoteReference"/>
          <w:b/>
        </w:rPr>
        <w:footnoteReference w:id="1"/>
      </w:r>
    </w:p>
    <w:p w:rsidR="009C7566" w:rsidRDefault="009C7566" w:rsidP="009C7566">
      <w:pPr>
        <w:ind w:left="-360" w:right="-108"/>
        <w:jc w:val="center"/>
        <w:rPr>
          <w:b/>
        </w:rPr>
      </w:pPr>
    </w:p>
    <w:p w:rsidR="00F31102" w:rsidRDefault="00F31102" w:rsidP="009C7566">
      <w:pPr>
        <w:ind w:left="-360" w:right="-108"/>
        <w:jc w:val="center"/>
        <w:rPr>
          <w:b/>
        </w:rPr>
      </w:pPr>
      <w:r>
        <w:rPr>
          <w:b/>
        </w:rPr>
        <w:t>FARKLI SİYASİ FİKİR AKIMLARININ ANAYASA İLE İLİŞKİLENDİRİLMESİ ÜZERİNE BİR İNCELEME</w:t>
      </w:r>
    </w:p>
    <w:p w:rsidR="00F31102" w:rsidRDefault="00F31102" w:rsidP="009C7566">
      <w:pPr>
        <w:ind w:right="-108"/>
        <w:jc w:val="both"/>
        <w:rPr>
          <w:b/>
        </w:rPr>
      </w:pPr>
    </w:p>
    <w:p w:rsidR="00F31102" w:rsidRDefault="00F31102" w:rsidP="00F31102">
      <w:pPr>
        <w:ind w:left="-360" w:right="-108" w:firstLine="360"/>
        <w:jc w:val="both"/>
      </w:pPr>
      <w:r>
        <w:t xml:space="preserve">Her hukuki belge gibi, anayasalar da sadece kâğıtlara yazılı bir metin olmakla kalmaz; aynı zamanda yorumlayanların zihninde teşekkül eder. Her ne kadar klişeleşmiş bir demeç olsa da Amerika Birleşik Devletleri Yüksek Mahkemesi yargıcı Charles </w:t>
      </w:r>
      <w:proofErr w:type="spellStart"/>
      <w:r>
        <w:t>Evan</w:t>
      </w:r>
      <w:proofErr w:type="spellEnd"/>
      <w:r>
        <w:t xml:space="preserve"> </w:t>
      </w:r>
      <w:proofErr w:type="spellStart"/>
      <w:r>
        <w:t>Hughes’un</w:t>
      </w:r>
      <w:proofErr w:type="spellEnd"/>
      <w:r>
        <w:t xml:space="preserve"> deyimiyle, “anayasa yargıçlar ne diyorsa odur”</w:t>
      </w:r>
      <w:r>
        <w:rPr>
          <w:rStyle w:val="FootnoteReference"/>
        </w:rPr>
        <w:footnoteReference w:id="2"/>
      </w:r>
      <w:r>
        <w:t xml:space="preserve">. Buna mukabil, aynı mahkemenin bir başka yargıcı, </w:t>
      </w:r>
      <w:proofErr w:type="spellStart"/>
      <w:r>
        <w:t>Felix</w:t>
      </w:r>
      <w:proofErr w:type="spellEnd"/>
      <w:r>
        <w:t xml:space="preserve"> </w:t>
      </w:r>
      <w:proofErr w:type="spellStart"/>
      <w:r>
        <w:t>Frankfurter</w:t>
      </w:r>
      <w:proofErr w:type="spellEnd"/>
      <w:r>
        <w:t xml:space="preserve">, 1939’da, </w:t>
      </w:r>
      <w:proofErr w:type="spellStart"/>
      <w:r>
        <w:rPr>
          <w:rStyle w:val="apple-style-span"/>
          <w:i/>
          <w:color w:val="000000"/>
          <w:shd w:val="clear" w:color="auto" w:fill="FFFFFF"/>
        </w:rPr>
        <w:t>Graves</w:t>
      </w:r>
      <w:proofErr w:type="spellEnd"/>
      <w:r>
        <w:rPr>
          <w:rStyle w:val="apple-style-span"/>
          <w:i/>
          <w:color w:val="000000"/>
          <w:shd w:val="clear" w:color="auto" w:fill="FFFFFF"/>
        </w:rPr>
        <w:t xml:space="preserve"> v. </w:t>
      </w:r>
      <w:bookmarkStart w:id="0" w:name="_GoBack"/>
      <w:bookmarkEnd w:id="0"/>
      <w:proofErr w:type="spellStart"/>
      <w:r>
        <w:rPr>
          <w:rStyle w:val="apple-style-span"/>
          <w:i/>
          <w:color w:val="000000"/>
          <w:shd w:val="clear" w:color="auto" w:fill="FFFFFF"/>
        </w:rPr>
        <w:t>O'Keefe</w:t>
      </w:r>
      <w:proofErr w:type="spellEnd"/>
      <w:r>
        <w:t xml:space="preserve"> davasında tam zıddı görüşü savunan şu sözleri sarf etmektedir: “Anayasallığın nihai mihenk taşı bizatihi anayasadır; yoksa bizim anayasa hakkındaki kanaatimiz değildir.”</w:t>
      </w:r>
      <w:r>
        <w:rPr>
          <w:rStyle w:val="FootnoteReference"/>
        </w:rPr>
        <w:footnoteReference w:id="3"/>
      </w:r>
      <w:r>
        <w:t xml:space="preserve">. </w:t>
      </w:r>
    </w:p>
    <w:p w:rsidR="00F31102" w:rsidRDefault="00F31102" w:rsidP="00F31102">
      <w:pPr>
        <w:ind w:left="-360" w:right="-108" w:firstLine="360"/>
        <w:jc w:val="both"/>
      </w:pPr>
      <w:r>
        <w:t xml:space="preserve">Herhangi bir zaman diliminde, herhangi bir anayasa koyucu tarafından ve nihayet herhangi bir muhtevayla yaratılan bir anayasa söz konusudur. Bütün mesele, bunun aslına sadık kalınarak mı, yoksa uyuşmazlığın çıktığı andaki ihtiyaç ve maslahata göre mi yorumlanacağıdır. </w:t>
      </w:r>
      <w:proofErr w:type="spellStart"/>
      <w:r>
        <w:t>Frankfurter</w:t>
      </w:r>
      <w:proofErr w:type="spellEnd"/>
      <w:r>
        <w:t xml:space="preserve"> ve hemfikirlerinin ilk yolu, </w:t>
      </w:r>
      <w:proofErr w:type="spellStart"/>
      <w:r>
        <w:t>Hughes</w:t>
      </w:r>
      <w:proofErr w:type="spellEnd"/>
      <w:r>
        <w:t xml:space="preserve"> ve takipçilerinin ise ikinci yolu seçtiği apaçık görünmektedir. Bu çekişmede, ilk olarak vurgulamak gerekir ki, anayasanın içeriğinin bir önemi yoktur. Keza anayasanın ne zaman ihdas edildiği ve anayasal uyuşmazlığın ne zaman çıktığı da tercih edilecek yönü belirlemekte tesirsizdir. Üçüncü olarak anayasa-koyucunun kimliği ehemmiyetsiz olduğundan, gâi yorum yöntemi de devre dışıdır. Geriye, tamamen usuli bir tercih hakkı kalmaktadır. Dolayısıyla, buraya kadarki tartışma, anayasanın şekli yorumuyla ilgilidir. </w:t>
      </w:r>
    </w:p>
    <w:p w:rsidR="00F31102" w:rsidRDefault="00F31102" w:rsidP="00F31102">
      <w:pPr>
        <w:ind w:left="-360" w:right="-108" w:firstLine="360"/>
        <w:jc w:val="both"/>
      </w:pPr>
      <w:r>
        <w:t>Diğer yandan, yukarıdaki meselenin dışında kalan üç istisnadan birincisi, yani anayasanın muhtevası farklı görüşlerle çeşitli şekillerde oluşturulabilir. Her anayasa, aslında, bir fikir akımını somutlaştırır</w:t>
      </w:r>
      <w:r>
        <w:rPr>
          <w:rStyle w:val="FootnoteReference"/>
        </w:rPr>
        <w:footnoteReference w:id="4"/>
      </w:r>
      <w:r>
        <w:t>. Böylece, anayasa-koyucunun iradesini en çok etkileyen, baskın fikir akımı kendini anayasa metninde belli etme imkânını yakalar. Tabii burada, artık anayasa-koyucunun kim olduğu ve gayesi, aslında neyi hedeflediği, kurmak istediği siyasal düzenin türü önem arz etmeye başlar. Netice itibariyle, ‘feminist anayasa’, ‘anarşist anayasa’, ‘liberal anayasa’, ‘sosyalist anayasa’, ‘muhafazakâr anayasa’ ... gibi farklı anayasa kavramları doğacaktır.</w:t>
      </w:r>
    </w:p>
    <w:p w:rsidR="00F31102" w:rsidRDefault="00F31102" w:rsidP="00F31102">
      <w:pPr>
        <w:ind w:left="-360" w:right="-108" w:firstLine="360"/>
        <w:jc w:val="both"/>
      </w:pPr>
      <w:r>
        <w:t xml:space="preserve">Bu çalışmada, fikir akımlarının ne olduğunun açıklanmasına, onların anayasa tasavvurlarının anlaşılmasını sağlamaya yardımcı olacak derecede yer verilecektir. </w:t>
      </w:r>
    </w:p>
    <w:p w:rsidR="009C7566" w:rsidRDefault="009C7566" w:rsidP="00F31102">
      <w:pPr>
        <w:ind w:left="-360" w:right="-108" w:firstLine="360"/>
        <w:jc w:val="both"/>
        <w:rPr>
          <w:b/>
        </w:rPr>
      </w:pPr>
    </w:p>
    <w:p w:rsidR="00F31102" w:rsidRPr="009C7566" w:rsidRDefault="009C7566" w:rsidP="009C7566">
      <w:pPr>
        <w:numPr>
          <w:ilvl w:val="0"/>
          <w:numId w:val="1"/>
        </w:numPr>
        <w:tabs>
          <w:tab w:val="clear" w:pos="540"/>
          <w:tab w:val="num" w:pos="360"/>
        </w:tabs>
        <w:ind w:left="-360" w:right="-108" w:firstLine="360"/>
        <w:jc w:val="both"/>
        <w:rPr>
          <w:b/>
        </w:rPr>
      </w:pPr>
      <w:r>
        <w:t xml:space="preserve"> </w:t>
      </w:r>
      <w:r w:rsidR="00F31102" w:rsidRPr="009C7566">
        <w:rPr>
          <w:b/>
        </w:rPr>
        <w:t>ÖZGÜRLÜĞÜN ÇARPINTISI</w:t>
      </w:r>
    </w:p>
    <w:p w:rsidR="00F31102" w:rsidRDefault="00F31102" w:rsidP="00F31102">
      <w:pPr>
        <w:ind w:left="-360" w:right="-108"/>
        <w:jc w:val="both"/>
        <w:rPr>
          <w:b/>
        </w:rPr>
      </w:pPr>
    </w:p>
    <w:p w:rsidR="00F31102" w:rsidRDefault="00F31102" w:rsidP="00F31102">
      <w:pPr>
        <w:ind w:left="-360" w:right="-108" w:firstLine="360"/>
        <w:jc w:val="both"/>
      </w:pPr>
      <w:r>
        <w:t xml:space="preserve">Liberalizme göre anayasanın ne olduğunu araştırmadan önce, liberalizmin ne olduğunu anlatmak gerekecektir. Takdir edilecektir ki, yüzyıllar boyunca milyonlarca insanın üzerinde tesir icra etmiş bir fikir akımı sayısız şekilde tanımlanabilir. Her düşünce, karşıtları, muhalifleri veya yandaşlarınca birbirinden oldukça uzak ifadelerle tarif edilir. Bununla beraber, değer yargılarından arınarak, bir de fikrin yaratıcılarına öncelik vererek isabetli değerlendirmelere ulaşmak mümkündür. </w:t>
      </w:r>
    </w:p>
    <w:p w:rsidR="00F31102" w:rsidRDefault="00F31102" w:rsidP="00F31102">
      <w:pPr>
        <w:ind w:left="-360" w:right="-108" w:firstLine="360"/>
        <w:jc w:val="both"/>
      </w:pPr>
      <w:r>
        <w:lastRenderedPageBreak/>
        <w:t xml:space="preserve">Liberalizm terimi, Latince “özgür” demek olan </w:t>
      </w:r>
      <w:proofErr w:type="spellStart"/>
      <w:r>
        <w:rPr>
          <w:i/>
        </w:rPr>
        <w:t>liber</w:t>
      </w:r>
      <w:proofErr w:type="spellEnd"/>
      <w:r>
        <w:rPr>
          <w:i/>
        </w:rPr>
        <w:t xml:space="preserve"> </w:t>
      </w:r>
      <w:r>
        <w:t>kelimesinden gelmektedir ki bu kelime aslında özgürlük felsefesine atfedilir</w:t>
      </w:r>
      <w:r>
        <w:rPr>
          <w:rStyle w:val="FootnoteReference"/>
        </w:rPr>
        <w:footnoteReference w:id="5"/>
      </w:r>
      <w:r>
        <w:t xml:space="preserve">. </w:t>
      </w:r>
    </w:p>
    <w:p w:rsidR="00F31102" w:rsidRDefault="00F31102" w:rsidP="00F31102">
      <w:pPr>
        <w:ind w:left="-360" w:right="-108" w:firstLine="360"/>
        <w:jc w:val="both"/>
      </w:pPr>
      <w:r>
        <w:t xml:space="preserve">John </w:t>
      </w:r>
      <w:proofErr w:type="spellStart"/>
      <w:r>
        <w:t>Rawls’a</w:t>
      </w:r>
      <w:proofErr w:type="spellEnd"/>
      <w:r>
        <w:t xml:space="preserve"> göre, siyasi liberalizmi de içine alacak şekilde liberalizmin tarihi esası, Reform hareketleri ve sonrasında, XVI. ve XVII. yüzyıllarda dini müsamaha hakkında yapılan uzun tartışmalara dayanır</w:t>
      </w:r>
      <w:r>
        <w:rPr>
          <w:rStyle w:val="FootnoteReference"/>
        </w:rPr>
        <w:footnoteReference w:id="6"/>
      </w:r>
      <w:r>
        <w:t xml:space="preserve">. </w:t>
      </w:r>
      <w:proofErr w:type="spellStart"/>
      <w:r>
        <w:t>Hegel’in</w:t>
      </w:r>
      <w:proofErr w:type="spellEnd"/>
      <w:r>
        <w:t xml:space="preserve"> de tespit ettiği üzere, çoğulculuk, Luther’in ve </w:t>
      </w:r>
      <w:proofErr w:type="spellStart"/>
      <w:r>
        <w:t>Calvin’in</w:t>
      </w:r>
      <w:proofErr w:type="spellEnd"/>
      <w:r>
        <w:t xml:space="preserve"> niyetinin aksine, din hürriyetini mümkün hale getirir</w:t>
      </w:r>
      <w:r>
        <w:rPr>
          <w:rStyle w:val="FootnoteReference"/>
        </w:rPr>
        <w:footnoteReference w:id="7"/>
      </w:r>
      <w:r>
        <w:t>. Tahakkümcü</w:t>
      </w:r>
      <w:r>
        <w:rPr>
          <w:rStyle w:val="FootnoteReference"/>
        </w:rPr>
        <w:footnoteReference w:id="8"/>
      </w:r>
      <w:r>
        <w:t xml:space="preserve"> bir düzenden çağdaş devlete doğru geçilirken, bu düzene karşı yapılan siyasi, iktisadi, toplumsal ve ahlaki itirazlar, liberalizmin tarihi başlangıç noktasını oluşturmaktadır</w:t>
      </w:r>
      <w:r>
        <w:rPr>
          <w:rStyle w:val="FootnoteReference"/>
        </w:rPr>
        <w:footnoteReference w:id="9"/>
      </w:r>
      <w:r>
        <w:t>. Liberalizm ilk olarak bir eleştiri, hatta bazen tahrip edici ve inkılâpçı bir eleştiri olarak ortaya çıkmıştır</w:t>
      </w:r>
      <w:r>
        <w:rPr>
          <w:rStyle w:val="FootnoteReference"/>
        </w:rPr>
        <w:footnoteReference w:id="10"/>
      </w:r>
      <w:r>
        <w:t>.</w:t>
      </w:r>
    </w:p>
    <w:p w:rsidR="00F31102" w:rsidRDefault="00F31102" w:rsidP="00F31102">
      <w:pPr>
        <w:ind w:left="-360" w:right="-108" w:firstLine="360"/>
        <w:jc w:val="both"/>
      </w:pPr>
      <w:r>
        <w:t>Bir bakıma, liberalizme göre anayasa bizatihi liberal anayasadır. Çünkü liberalizm, muhtemelen, liberal olmayan anayasaları anayasa kabul etmez. Liberalizmin somutlaşmış hali olan anayasa, hakiki anayasadır; anayasacılığın en büyük hedefidir. Belki de bu yüzden, liberalizm hareketiyle, anayasacılık hareketleri gerek zaman gerekse neden-sonuç bağlantısı açısından genellikle örtüşür.</w:t>
      </w:r>
    </w:p>
    <w:p w:rsidR="00F31102" w:rsidRDefault="00F31102" w:rsidP="00F31102">
      <w:pPr>
        <w:ind w:left="-360" w:right="-108" w:firstLine="360"/>
        <w:jc w:val="both"/>
      </w:pPr>
      <w:r>
        <w:t xml:space="preserve">John </w:t>
      </w:r>
      <w:proofErr w:type="spellStart"/>
      <w:r>
        <w:t>Locke’ın</w:t>
      </w:r>
      <w:proofErr w:type="spellEnd"/>
      <w:r>
        <w:t xml:space="preserve"> yazılarında büyük oranda Amerikan anayasasının çizdiği çerçeveyle şekillenen siyasi gelişmeler, aydınlanma dönemi liberalizminin en iyi örnekleri olarak yorumlanmaktadır</w:t>
      </w:r>
      <w:r>
        <w:rPr>
          <w:rStyle w:val="FootnoteReference"/>
        </w:rPr>
        <w:footnoteReference w:id="11"/>
      </w:r>
      <w:r>
        <w:t xml:space="preserve">. Bu tür liberalizmin ne kadar zayıf olduğu, başlıca tarihi, felsefi eleştirilerde, </w:t>
      </w:r>
      <w:proofErr w:type="spellStart"/>
      <w:r>
        <w:t>Hume</w:t>
      </w:r>
      <w:proofErr w:type="spellEnd"/>
      <w:r>
        <w:t xml:space="preserve">, Rousseau, </w:t>
      </w:r>
      <w:proofErr w:type="spellStart"/>
      <w:r>
        <w:t>Burke</w:t>
      </w:r>
      <w:proofErr w:type="spellEnd"/>
      <w:r>
        <w:t xml:space="preserve">, </w:t>
      </w:r>
      <w:proofErr w:type="spellStart"/>
      <w:r>
        <w:t>Emerson</w:t>
      </w:r>
      <w:proofErr w:type="spellEnd"/>
      <w:r>
        <w:t xml:space="preserve"> ve </w:t>
      </w:r>
      <w:proofErr w:type="spellStart"/>
      <w:r>
        <w:t>Marx’ın</w:t>
      </w:r>
      <w:proofErr w:type="spellEnd"/>
      <w:r>
        <w:t xml:space="preserve"> çalışmalarında en iyi şekilde izah edilmiştir</w:t>
      </w:r>
      <w:r>
        <w:rPr>
          <w:rStyle w:val="FootnoteReference"/>
        </w:rPr>
        <w:footnoteReference w:id="12"/>
      </w:r>
      <w:r>
        <w:t>. Hepsi birden, bu çalışmalar, tüm hataları ve sevaplarıyla, yukarıda niteliği belirtilen türdeki liberalizmi zengin bir biçimde, cömertçe aydınlattığı gibi; Amerikan anayasal düzenini de görmezden gelinemeyecek derecede tesiri altına almıştır</w:t>
      </w:r>
      <w:r>
        <w:rPr>
          <w:rStyle w:val="FootnoteReference"/>
        </w:rPr>
        <w:footnoteReference w:id="13"/>
      </w:r>
      <w:r>
        <w:t>. Görüldüğü üzere, pek çok adaşı gibi siyasi yetkileri paylaştıran bir belge vasfı taşıyan Amerikan anayasası üzerinde liberal düşüncenin etki doğurması, anayasa kavramı üzerindeki yansımalarını da incelemeye değer kılmaktadır.</w:t>
      </w:r>
    </w:p>
    <w:p w:rsidR="00F31102" w:rsidRDefault="00F31102" w:rsidP="00F31102">
      <w:pPr>
        <w:ind w:left="-360" w:right="-108" w:firstLine="360"/>
        <w:jc w:val="both"/>
      </w:pPr>
      <w:r>
        <w:t xml:space="preserve">Liberalizmin anayasa tahtı üzerinde dünya çapında hüküm sürdüğüyle ilgili olarak, bir örnek daha verilse, bu Almanya olabilir. </w:t>
      </w:r>
      <w:proofErr w:type="spellStart"/>
      <w:r>
        <w:t>Roger</w:t>
      </w:r>
      <w:proofErr w:type="spellEnd"/>
      <w:r>
        <w:t xml:space="preserve"> D. </w:t>
      </w:r>
      <w:proofErr w:type="spellStart"/>
      <w:r>
        <w:t>Congleton</w:t>
      </w:r>
      <w:proofErr w:type="spellEnd"/>
      <w:r>
        <w:t xml:space="preserve">, anayasal ıslahatları, Batı demokrasisinin doğuşunu ve tabii liberalizmi anlattığı kitabında, Almanya’nın da anayasal gelişmeleri de inceler ve </w:t>
      </w:r>
      <w:proofErr w:type="spellStart"/>
      <w:r>
        <w:t>Württemberg</w:t>
      </w:r>
      <w:proofErr w:type="spellEnd"/>
      <w:r>
        <w:t xml:space="preserve">, Baden, </w:t>
      </w:r>
      <w:proofErr w:type="spellStart"/>
      <w:r>
        <w:t>Hanover</w:t>
      </w:r>
      <w:proofErr w:type="spellEnd"/>
      <w:r>
        <w:t xml:space="preserve"> ve </w:t>
      </w:r>
      <w:proofErr w:type="spellStart"/>
      <w:r>
        <w:t>Bavaria</w:t>
      </w:r>
      <w:proofErr w:type="spellEnd"/>
      <w:r>
        <w:t xml:space="preserve"> gibi büyük Alman eyaletleri üzerinde meclislerin oluşumu ve sanayileşme ile birlikte liberalizmin mutlak etkisinden bahseder</w:t>
      </w:r>
      <w:r>
        <w:rPr>
          <w:rStyle w:val="FootnoteReference"/>
        </w:rPr>
        <w:footnoteReference w:id="14"/>
      </w:r>
      <w:r>
        <w:t>. 18. yüzyıl sonları ve 19. yüzyıl başlarında Prusya’nın gelişiminde liberal nüfuzun oldukça belirgindir</w:t>
      </w:r>
      <w:r>
        <w:rPr>
          <w:rStyle w:val="FootnoteReference"/>
        </w:rPr>
        <w:footnoteReference w:id="15"/>
      </w:r>
      <w:r>
        <w:t>. Zaten, Batı tipi demokrasi ile liberalizm, birbirinin mütemmim cüzü olarak görülebilir. Birkaç asır öncesinde bile, liberalizmin, demokratik düzenlerin iskeletlerini, yani anayasaları güçlü bir şekilde tesiri altına aldığını gözlemlemek mümkündür. Günümüzde de durum farklı değildir.</w:t>
      </w:r>
    </w:p>
    <w:p w:rsidR="00F31102" w:rsidRDefault="00F31102" w:rsidP="00F31102">
      <w:pPr>
        <w:ind w:left="-360" w:right="-108" w:firstLine="360"/>
        <w:jc w:val="both"/>
      </w:pPr>
      <w:r>
        <w:t xml:space="preserve">Almanya’nın ardından, uzak doğuya uzanmak gerekirse, burada İngiltere’nin sömürgelerinden Hindistan’daki durumdan söz etmek ilgi çekici ve bir o kadar yararlı </w:t>
      </w:r>
      <w:r>
        <w:lastRenderedPageBreak/>
        <w:t>olabilir. Bu örnek, anayasa-liberalizm ilişkisini coğrafi yaklaşım ve eleştirilerden kurtarma gücünü taşımakta; bu ilişkinin evrensel boyutta kurulabileceğini göstermektedir. O halde şu soruyu yöneltmek lazımdır: Liberal anayasanın Hindistan’daki yerel şekli nasıldır? ‘Jürilerde’ kimlerin hizmet vereceği meselesi, İngiltere’deki nazari ve tatbiki tartışmalarla eş zamanlı olarak, 1820’lerde ortaya çıkmıştı</w:t>
      </w:r>
      <w:r>
        <w:rPr>
          <w:rStyle w:val="FootnoteReference"/>
        </w:rPr>
        <w:footnoteReference w:id="16"/>
      </w:r>
      <w:r>
        <w:t xml:space="preserve">. Bu, meselenin ilk bölümünü oluşturuyordu. Aralarında </w:t>
      </w:r>
      <w:proofErr w:type="spellStart"/>
      <w:r>
        <w:t>Rammohan</w:t>
      </w:r>
      <w:proofErr w:type="spellEnd"/>
      <w:r>
        <w:t xml:space="preserve">, </w:t>
      </w:r>
      <w:proofErr w:type="spellStart"/>
      <w:r>
        <w:t>Dwarkanath</w:t>
      </w:r>
      <w:proofErr w:type="spellEnd"/>
      <w:r>
        <w:t xml:space="preserve"> </w:t>
      </w:r>
      <w:proofErr w:type="spellStart"/>
      <w:r>
        <w:t>Tagore</w:t>
      </w:r>
      <w:proofErr w:type="spellEnd"/>
      <w:r>
        <w:t xml:space="preserve"> ve </w:t>
      </w:r>
      <w:proofErr w:type="spellStart"/>
      <w:r>
        <w:t>Madras</w:t>
      </w:r>
      <w:proofErr w:type="spellEnd"/>
      <w:r>
        <w:t xml:space="preserve"> eyaletinden Ram </w:t>
      </w:r>
      <w:proofErr w:type="spellStart"/>
      <w:r>
        <w:t>Raz’ın</w:t>
      </w:r>
      <w:proofErr w:type="spellEnd"/>
      <w:r>
        <w:t xml:space="preserve"> da bulunduğu ilk Hintli liberaller, İngiltere’deki tartışmalarda aşırı uçta yer alanların kullandıkları iddiaları kendilerine mâlediyor ve seçici bir şekilde etrafa yayıyorlardı</w:t>
      </w:r>
      <w:r>
        <w:rPr>
          <w:rStyle w:val="FootnoteReference"/>
        </w:rPr>
        <w:footnoteReference w:id="17"/>
      </w:r>
      <w:r>
        <w:t>. Bununla beraber, temsili kurumların yerleştirilmesi bakımından Hindistan’ın yolunun ayrıldığında da ısrarcıydılar</w:t>
      </w:r>
      <w:r>
        <w:rPr>
          <w:rStyle w:val="FootnoteReference"/>
        </w:rPr>
        <w:footnoteReference w:id="18"/>
      </w:r>
      <w:r>
        <w:t>. Burada, liberal görüşün tam anlamıyla kendini gösterememesi hayal kırıklığı yaratmamalıdır. Gecikmeli ve hatta taklit etme şeklinde olsa da, Hint anayasal düzeninde, hiç umulmadık tarihlerde, 19. yüzyılın başında liberal düşüncelerin ortaya çıkışı küçümsenemeyecek bir gelişme olduğu gibi, liberalizme göre anayasa hakkında fikir vermektedir.</w:t>
      </w:r>
    </w:p>
    <w:p w:rsidR="00F31102" w:rsidRDefault="00F31102" w:rsidP="00F31102">
      <w:pPr>
        <w:ind w:left="-360" w:right="-108" w:firstLine="360"/>
        <w:jc w:val="both"/>
      </w:pPr>
      <w:proofErr w:type="spellStart"/>
      <w:r>
        <w:t>Rainer</w:t>
      </w:r>
      <w:proofErr w:type="spellEnd"/>
      <w:r>
        <w:t xml:space="preserve"> </w:t>
      </w:r>
      <w:proofErr w:type="spellStart"/>
      <w:r>
        <w:t>Forst</w:t>
      </w:r>
      <w:proofErr w:type="spellEnd"/>
      <w:r>
        <w:t>, liberalizmin üç kurucu unsurunun olduğunu ileri sürer. Bunlar bireysel özgürlük, toplumsal çoğulculuk ve siyasi anayasacılıktır</w:t>
      </w:r>
      <w:r>
        <w:rPr>
          <w:rStyle w:val="FootnoteReference"/>
        </w:rPr>
        <w:footnoteReference w:id="19"/>
      </w:r>
      <w:r>
        <w:t xml:space="preserve">. John </w:t>
      </w:r>
      <w:proofErr w:type="spellStart"/>
      <w:r>
        <w:t>Rawls’un</w:t>
      </w:r>
      <w:proofErr w:type="spellEnd"/>
      <w:r>
        <w:t xml:space="preserve"> da bu üçlü sacayağına sadakati bilinmektedir</w:t>
      </w:r>
      <w:r>
        <w:rPr>
          <w:rStyle w:val="FootnoteReference"/>
        </w:rPr>
        <w:footnoteReference w:id="20"/>
      </w:r>
      <w:r>
        <w:t xml:space="preserve">. Tabii, bu sadakat duygusunda liberalizme ve adalete eşit mesafede durduğu bellidir; bunun uğruna ekonomik liberalizmi gözden çıkarabilecektir. Yeniden </w:t>
      </w:r>
      <w:proofErr w:type="spellStart"/>
      <w:r>
        <w:t>Forst’a</w:t>
      </w:r>
      <w:proofErr w:type="spellEnd"/>
      <w:r>
        <w:t xml:space="preserve"> dönersek, onun ilan ettiği üçüncü unsur, liberalizm-anayasa bağlantısını kurduğu gibi anayasanın siyasi boyutunun açıklanmasında katkı da sağlayabilir. Anayasanın siyasi özgürlüğü koruyan vazgeçilmez bir araç olarak tanımlandığı sürece hem liberalizm, özellikle de siyasi liberalizm ayakta kalacak; hem de anayasa sürekli olarak siyaset ve özgürlük tartışmaların tam göbeğinde yer alacaktır. </w:t>
      </w:r>
    </w:p>
    <w:p w:rsidR="00F31102" w:rsidRDefault="00F31102" w:rsidP="00F31102">
      <w:pPr>
        <w:ind w:left="-360" w:right="-108" w:firstLine="360"/>
        <w:jc w:val="both"/>
      </w:pPr>
    </w:p>
    <w:p w:rsidR="00F31102" w:rsidRPr="009C7566" w:rsidRDefault="00F31102" w:rsidP="00F31102">
      <w:pPr>
        <w:numPr>
          <w:ilvl w:val="0"/>
          <w:numId w:val="1"/>
        </w:numPr>
        <w:ind w:left="-360" w:right="-108" w:firstLine="360"/>
        <w:jc w:val="both"/>
        <w:rPr>
          <w:b/>
        </w:rPr>
      </w:pPr>
      <w:r w:rsidRPr="009C7566">
        <w:rPr>
          <w:b/>
        </w:rPr>
        <w:t>“TAHRİBATA KARŞI BİR MUKAVEMET HAREKETİ”</w:t>
      </w:r>
    </w:p>
    <w:p w:rsidR="00F31102" w:rsidRDefault="00F31102" w:rsidP="00F31102">
      <w:pPr>
        <w:ind w:left="-360" w:right="-108"/>
        <w:jc w:val="both"/>
        <w:rPr>
          <w:b/>
        </w:rPr>
      </w:pPr>
    </w:p>
    <w:p w:rsidR="00F31102" w:rsidRDefault="00F31102" w:rsidP="00F31102">
      <w:pPr>
        <w:ind w:left="-360" w:right="-108" w:firstLine="360"/>
        <w:jc w:val="both"/>
      </w:pPr>
      <w:r>
        <w:t xml:space="preserve">En az liberalizm kadar, hatta ondan da fazla tartışmalı bir fikir akımı olan sosyalizme göre anayasa nedir veya ne değildir? Bunu öğrenebilmek için önce sosyalizm hakkında beyan edilen düşüncelere göz atmak gerekir. Sosyalizm denince akla ilk gelen düşünür olan </w:t>
      </w:r>
      <w:proofErr w:type="spellStart"/>
      <w:r>
        <w:t>Marx’a</w:t>
      </w:r>
      <w:proofErr w:type="spellEnd"/>
      <w:r>
        <w:t xml:space="preserve"> göre sosyalizm, kendisinin kullandığı edebi bir ifadeyle, toplumsal gerçeklik içinde hayranlığın yol açtığı tahribata karşı bir mukavemet hareketidir</w:t>
      </w:r>
      <w:r>
        <w:rPr>
          <w:rStyle w:val="FootnoteReference"/>
        </w:rPr>
        <w:footnoteReference w:id="21"/>
      </w:r>
      <w:r>
        <w:t xml:space="preserve">. </w:t>
      </w:r>
      <w:proofErr w:type="spellStart"/>
      <w:r>
        <w:t>Marx’ın</w:t>
      </w:r>
      <w:proofErr w:type="spellEnd"/>
      <w:r>
        <w:t xml:space="preserve"> sosyalizmi devrimcidir. Şöyle ki, ona göre, devrim yapılmadan sosyalizm yürürlüğe sokulamaz</w:t>
      </w:r>
      <w:r>
        <w:rPr>
          <w:rStyle w:val="FootnoteReference"/>
        </w:rPr>
        <w:footnoteReference w:id="22"/>
      </w:r>
      <w:r>
        <w:t>.</w:t>
      </w:r>
    </w:p>
    <w:p w:rsidR="00F31102" w:rsidRDefault="00F31102" w:rsidP="00F31102">
      <w:pPr>
        <w:ind w:left="-360" w:right="-108" w:firstLine="360"/>
        <w:jc w:val="both"/>
      </w:pPr>
      <w:r>
        <w:rPr>
          <w:i/>
        </w:rPr>
        <w:t>Sosyalizm: Ütopyacı ve Bilimsel</w:t>
      </w:r>
      <w:r>
        <w:t xml:space="preserve"> adlı eserini ilk kez 1892’de yayınlayan Engels’e göre, çağdaş sosyalizm, özünde, kabul görmenin, bir açıdan, günümüz toplumunda mülk sahipleri ile mülk sahibi olmayanlar, kapitalistler ile ücretli işçiler</w:t>
      </w:r>
      <w:r>
        <w:rPr>
          <w:b/>
        </w:rPr>
        <w:t xml:space="preserve"> </w:t>
      </w:r>
      <w:r>
        <w:t xml:space="preserve">arasındaki </w:t>
      </w:r>
      <w:r>
        <w:lastRenderedPageBreak/>
        <w:t>sınıf mücadelesinin ve üretim sürecindeki karmaşanın doğrudan bir ürünüdür</w:t>
      </w:r>
      <w:r>
        <w:rPr>
          <w:rStyle w:val="FootnoteReference"/>
        </w:rPr>
        <w:footnoteReference w:id="23"/>
      </w:r>
      <w:r>
        <w:t>. Fakat nazari şekli içinde çağdaş sosyalizm, görünüşte, XVIII. Yüzyılın büyük Fransız filozoflarının koyduğu ilkelerin mantıki bir genişlemesi olarak belirir</w:t>
      </w:r>
      <w:r>
        <w:rPr>
          <w:rStyle w:val="FootnoteReference"/>
        </w:rPr>
        <w:footnoteReference w:id="24"/>
      </w:r>
      <w:r>
        <w:t>. Her yeni nazariye gibi o da ilk bakışta ihraç ettiği,  göze en çok batan ürünleriyle tanınmıştır. Hâlbuki onun kökleri maddi iktisadi gerçeklerde yatmaktadır.</w:t>
      </w:r>
    </w:p>
    <w:p w:rsidR="00F31102" w:rsidRDefault="00F31102" w:rsidP="00F31102">
      <w:pPr>
        <w:ind w:left="-360" w:right="-108" w:firstLine="360"/>
        <w:jc w:val="both"/>
      </w:pPr>
      <w:r>
        <w:t>Öncelikle altını çizmek gerekir ki, genel olarak sosyalist anayasalar; özelde Sovyetler Birliği veya Alman Demokratik Cumhuriyeti (Doğu Almanya) anayasaları ve devlet örgütleri önemli devlet organlarını sınırlamak, denetlemek, yönetmek, işletmek amacıyla yapılmamıştır</w:t>
      </w:r>
      <w:r>
        <w:rPr>
          <w:rStyle w:val="FootnoteReference"/>
        </w:rPr>
        <w:footnoteReference w:id="25"/>
      </w:r>
      <w:r>
        <w:t>. Bu tür devletlerde anayasalar hizmetçidir; efendi değildir</w:t>
      </w:r>
      <w:r>
        <w:rPr>
          <w:rStyle w:val="FootnoteReference"/>
        </w:rPr>
        <w:footnoteReference w:id="26"/>
      </w:r>
      <w:r>
        <w:t>. Yerleşik Marksist-Leninist kavramlarla ifade etmek gerekirse, devlet ve anayasa sınıf tahakkümünün bir aracıdır</w:t>
      </w:r>
      <w:r>
        <w:rPr>
          <w:rStyle w:val="FootnoteReference"/>
        </w:rPr>
        <w:footnoteReference w:id="27"/>
      </w:r>
      <w:r>
        <w:t>. Sosyalist bir devlette işçi sınıfı görünürde iktidardadır; özellikle de Çin’de bu böyledir. Fakat Mao’nun da iddia ettiği gibi sosyalist bir devlette çelişkiler vardır; anayasalara hâlâ ihtiyaç duyulabilir</w:t>
      </w:r>
      <w:r>
        <w:rPr>
          <w:rStyle w:val="FootnoteReference"/>
        </w:rPr>
        <w:footnoteReference w:id="28"/>
      </w:r>
      <w:r>
        <w:t>. Görüldüğü üzere sosyalist düşüncede, liberal anayasa yaklaşımıyla neredeyse taban tabana zıt bir anayasa kavramı ve algısı vardır.</w:t>
      </w:r>
    </w:p>
    <w:p w:rsidR="00F31102" w:rsidRDefault="00F31102" w:rsidP="00F31102">
      <w:pPr>
        <w:ind w:left="-360" w:right="-108" w:firstLine="360"/>
        <w:jc w:val="both"/>
      </w:pPr>
      <w:r>
        <w:t xml:space="preserve">Paul </w:t>
      </w:r>
      <w:proofErr w:type="spellStart"/>
      <w:r>
        <w:t>Hirst</w:t>
      </w:r>
      <w:proofErr w:type="spellEnd"/>
      <w:r>
        <w:t>, anayasayı müzakere ve rıza ile oluşan toplumsal değişimin sonucu olarak tanımladıktan sonra, sosyalist bir toplum için anayasa tasavvur edildiğinde iki belirgin siyasi dayanak noktasının var olduğunu söyler</w:t>
      </w:r>
      <w:r>
        <w:rPr>
          <w:rStyle w:val="FootnoteReference"/>
        </w:rPr>
        <w:footnoteReference w:id="29"/>
      </w:r>
      <w:r>
        <w:t>. Bunlardan ilki Doğu Avrupa sosyalist devletlerindeki demokratik yeniliklerdir ki bunlar ihtimal dâhilindedir</w:t>
      </w:r>
      <w:r>
        <w:rPr>
          <w:rStyle w:val="FootnoteReference"/>
        </w:rPr>
        <w:footnoteReference w:id="30"/>
      </w:r>
      <w:r>
        <w:t>. İkincisi ise gelişmiş bir Batılı ülkede seçimle işbaşına gelen kurumların gölgesinde demokratik sosyalizmi inşa etme girişimidir</w:t>
      </w:r>
      <w:r>
        <w:rPr>
          <w:rStyle w:val="FootnoteReference"/>
        </w:rPr>
        <w:footnoteReference w:id="31"/>
      </w:r>
      <w:r>
        <w:t xml:space="preserve">. </w:t>
      </w:r>
      <w:proofErr w:type="spellStart"/>
      <w:r>
        <w:t>Hirst’in</w:t>
      </w:r>
      <w:proofErr w:type="spellEnd"/>
      <w:r>
        <w:t xml:space="preserve"> bu kanaatleri, 1986’da, Doğu Blokunun yıkılışının </w:t>
      </w:r>
      <w:proofErr w:type="spellStart"/>
      <w:r>
        <w:t>arefesinde</w:t>
      </w:r>
      <w:proofErr w:type="spellEnd"/>
      <w:r>
        <w:t xml:space="preserve"> yayınlanan </w:t>
      </w:r>
      <w:r>
        <w:rPr>
          <w:i/>
        </w:rPr>
        <w:t xml:space="preserve">Hukuk, Sosyalizm ve Demokrasi </w:t>
      </w:r>
      <w:r>
        <w:t>adlı eserinde yer almakta olup yayınlandığı tarih dikkate alınarak değerlendirildiğinde daha yararlı olacaktır. 1990’daki siyasi kırılmanın anayasalara yansıdığı bir gerçek olup anayasanın siyasi değerini göstermesi bakımından kaydadeğerdir.</w:t>
      </w:r>
    </w:p>
    <w:p w:rsidR="00F31102" w:rsidRDefault="00F31102" w:rsidP="00F31102">
      <w:pPr>
        <w:ind w:left="-360" w:right="-108" w:firstLine="360"/>
        <w:jc w:val="both"/>
      </w:pPr>
      <w:r>
        <w:t>Sosyalist anayasacılığın doğum yerinin Sovyet Sosyalist Cumhuriyetler Birliği olduğu söylenebilir. Bu siyasi düzende İlki 1918’de olmak üzere, 1924, 1936 ve 1977 yıllarında toplam dört anayasa yapılmıştır</w:t>
      </w:r>
      <w:r>
        <w:rPr>
          <w:rStyle w:val="FootnoteReference"/>
        </w:rPr>
        <w:footnoteReference w:id="32"/>
      </w:r>
      <w:r>
        <w:t xml:space="preserve">. Sosyalist siyasetin anayasaya bakışını görebilmek için Lenin’in 1909 yılında </w:t>
      </w:r>
      <w:proofErr w:type="spellStart"/>
      <w:r>
        <w:t>sarfettiği</w:t>
      </w:r>
      <w:proofErr w:type="spellEnd"/>
      <w:r>
        <w:t xml:space="preserve"> sözlere kulak vermek faydalı olabilir: “Hukuk ile hakikat birbirinden uzaklaştığında, anayasa, uydurma ve hayalidir; ne zaman ki onlar birbirine denk düşer, işte o zaman anayasa gerçektir.”</w:t>
      </w:r>
      <w:r>
        <w:rPr>
          <w:rStyle w:val="FootnoteReference"/>
        </w:rPr>
        <w:footnoteReference w:id="33"/>
      </w:r>
      <w:r>
        <w:t xml:space="preserve"> Lenin’in bu cümlesi, anayasanın bir araç olarak kullanılacağının habercisidir. Stalin’e göreyse dünyadaki tek adamakıllı demokratik anayasa, Sovyetler Birliği Anayasasıdır</w:t>
      </w:r>
      <w:r>
        <w:rPr>
          <w:rStyle w:val="FootnoteReference"/>
        </w:rPr>
        <w:footnoteReference w:id="34"/>
      </w:r>
      <w:r>
        <w:t>.</w:t>
      </w:r>
    </w:p>
    <w:p w:rsidR="00F31102" w:rsidRDefault="00F31102" w:rsidP="00F31102">
      <w:pPr>
        <w:ind w:left="-360" w:right="-108" w:firstLine="360"/>
        <w:jc w:val="both"/>
      </w:pPr>
      <w:r>
        <w:t xml:space="preserve">Etkili örgütlenmiş bir anayasal düzen, merkezileşmiş iktidar, kuvvetler birliği sosyalist anayasa anlayışının ilkelerindedir. Liberal düşüncenin tam karşısında yer alan bilimsel sosyalizm veya nam-ı diğer Marksizm, insanı birey olarak değil toplumun bir </w:t>
      </w:r>
      <w:r>
        <w:lastRenderedPageBreak/>
        <w:t>parçası olarak tanımladığı için insanlar, sadece toplumun kendine bahşettiği hakları kullanabilirler</w:t>
      </w:r>
      <w:r>
        <w:rPr>
          <w:rStyle w:val="FootnoteReference"/>
        </w:rPr>
        <w:footnoteReference w:id="35"/>
      </w:r>
      <w:r>
        <w:t>.</w:t>
      </w:r>
    </w:p>
    <w:p w:rsidR="00F31102" w:rsidRDefault="00F31102" w:rsidP="00F31102">
      <w:pPr>
        <w:ind w:left="-360" w:right="-108" w:firstLine="360"/>
        <w:jc w:val="both"/>
      </w:pPr>
      <w:r>
        <w:t>Ortaya çıktıkları zaman bakımından, sosyalist anayasalar</w:t>
      </w:r>
      <w:r>
        <w:rPr>
          <w:rStyle w:val="FootnoteReference"/>
        </w:rPr>
        <w:footnoteReference w:id="36"/>
      </w:r>
      <w:r>
        <w:t xml:space="preserve"> dörde ayrılabilir: II. Dünya Savaşı’na kadar: SSCB Anayasaları, II. Dünya Savaşı’ndan sonra Orta ve Doğu Avrupa devletleri ve Çin Halk Cumhuriyeti ile diğer sosyalist ülke anayasaları, 1980 sonrası dönüşüm anayasaları ve sonuncusu 2000’li yıllardaki Küba, Kuzey Kore, Vietnam, Çin ve </w:t>
      </w:r>
      <w:proofErr w:type="spellStart"/>
      <w:r>
        <w:t>Srilanka</w:t>
      </w:r>
      <w:proofErr w:type="spellEnd"/>
      <w:r>
        <w:t xml:space="preserve"> anayasaları</w:t>
      </w:r>
      <w:r>
        <w:rPr>
          <w:rStyle w:val="FootnoteReference"/>
        </w:rPr>
        <w:footnoteReference w:id="37"/>
      </w:r>
      <w:r>
        <w:t>. Bu dört dönemde anayasal tercihler öncelikle SSCB-Çin yol ayrımıyla farklılaşmıştır. Bununla beraber Sovyet öğretisinin ‘</w:t>
      </w:r>
      <w:proofErr w:type="spellStart"/>
      <w:r>
        <w:t>proleterya</w:t>
      </w:r>
      <w:proofErr w:type="spellEnd"/>
      <w:r>
        <w:t xml:space="preserve"> diktatörlüğü’, Çin Anayasasında kendine yer bulabilmektedir</w:t>
      </w:r>
      <w:r>
        <w:rPr>
          <w:rStyle w:val="FootnoteReference"/>
        </w:rPr>
        <w:footnoteReference w:id="38"/>
      </w:r>
      <w:r>
        <w:t>. Yugoslavya, Macaristan, Çekoslovakya anayasaları da çeşitliliği yansıtan eğilimler doğrultusunda yapılmış sayılabilir. 1980 dönemi ise ‘geçiş dönemi anayasa hukuku’ olarak adlandırılmaktadır</w:t>
      </w:r>
      <w:r>
        <w:rPr>
          <w:rStyle w:val="FootnoteReference"/>
        </w:rPr>
        <w:footnoteReference w:id="39"/>
      </w:r>
      <w:r>
        <w:t>. Bu dönemde iktidarın sosyalist temelleri sorgulandı, değişim yanlısı komünist üyeleri iktidara geldi, anayasalardan komünist partinin ‘daimi yönetici’ konumunun dayanakları çıkarıldı, rekabetli seçimler düzenlendi. Geçiş evresinde yeni meclisler kuruldu, sosyalist olmayan anayasalar kuruldu</w:t>
      </w:r>
      <w:r>
        <w:rPr>
          <w:rStyle w:val="FootnoteReference"/>
        </w:rPr>
        <w:footnoteReference w:id="40"/>
      </w:r>
      <w:r>
        <w:t xml:space="preserve">. Sonunda demokrasiyi pekiştirme evresine girildi ki bu, sosyalist anayasa hareketinin sona erdiği aşamadır. Günümüzde, Çin’in anayasa uygulamalarında siyasi iktidar, iktisadi yapı ver özgürlükler bakımından önemli değişimler yaşanmaktadır. </w:t>
      </w:r>
      <w:proofErr w:type="gramStart"/>
      <w:r>
        <w:t>Mahkemelerce kabul edilen dava sayısının yıllara göre dağılımının bir ülkedeki değişime ışık tutabileceği varsayılırsa, 1978-2006 yılları arasında, 1995’lere kadar belirgin derecede az olan ve anayasal güvencelerin, özellikle de idareye karşı sahip olunan hakların bir ölçütü olarak görülebilecek idari davaların 2000’li yılların başından itibaren toplam dava sayısındaki azalmaya rağmen, yüzbinlerle ifade edilen sayıya ulaşmasını</w:t>
      </w:r>
      <w:r>
        <w:rPr>
          <w:rStyle w:val="FootnoteReference"/>
        </w:rPr>
        <w:footnoteReference w:id="41"/>
      </w:r>
      <w:r>
        <w:t xml:space="preserve"> Çin’in anayasal gelişimi açısından önemsemek gerekecektir.</w:t>
      </w:r>
      <w:proofErr w:type="gramEnd"/>
    </w:p>
    <w:p w:rsidR="00F31102" w:rsidRDefault="00F31102" w:rsidP="00F31102">
      <w:pPr>
        <w:ind w:left="-360" w:right="-108" w:firstLine="360"/>
        <w:jc w:val="both"/>
      </w:pPr>
    </w:p>
    <w:p w:rsidR="00F31102" w:rsidRPr="009C7566" w:rsidRDefault="00F31102" w:rsidP="00F31102">
      <w:pPr>
        <w:numPr>
          <w:ilvl w:val="0"/>
          <w:numId w:val="1"/>
        </w:numPr>
        <w:ind w:left="-360" w:right="-108" w:firstLine="360"/>
        <w:jc w:val="both"/>
        <w:rPr>
          <w:b/>
        </w:rPr>
      </w:pPr>
      <w:r w:rsidRPr="009C7566">
        <w:rPr>
          <w:b/>
        </w:rPr>
        <w:t>HAYATIN DOĞAL AKIŞINI SAVUNMAK</w:t>
      </w:r>
    </w:p>
    <w:p w:rsidR="00F31102" w:rsidRDefault="00F31102" w:rsidP="00F31102">
      <w:pPr>
        <w:ind w:left="-360" w:right="-108"/>
        <w:jc w:val="both"/>
        <w:rPr>
          <w:b/>
        </w:rPr>
      </w:pPr>
    </w:p>
    <w:p w:rsidR="00F31102" w:rsidRDefault="00F31102" w:rsidP="00F31102">
      <w:pPr>
        <w:ind w:left="-360" w:right="-108" w:firstLine="360"/>
        <w:jc w:val="both"/>
      </w:pPr>
      <w:r>
        <w:t>Öncelikle belirtmek gerekir ki, muhafazakârlık, Batıda son iki asrın en büyük üç fikir akımından biridir</w:t>
      </w:r>
      <w:r>
        <w:rPr>
          <w:rStyle w:val="FootnoteReference"/>
        </w:rPr>
        <w:footnoteReference w:id="42"/>
      </w:r>
      <w:r>
        <w:t>. Diğer ikisi de, tahmin edileceği üzere, yukarıda temas edilen liberalizm ve sosyalizmdir. Muhafazakârlığın her türlü değişime karşı direniş tavrı takınması, doğal olarak, diğer fikirlere nispeten ortaya çıkışını geciktirmiştir. Mesela İngiltere’ye baktığımızda, 1830’lara kadar siyasi yelpazede muhafazakâr görüşe rastlanmamaktadır</w:t>
      </w:r>
      <w:r>
        <w:rPr>
          <w:rStyle w:val="FootnoteReference"/>
        </w:rPr>
        <w:footnoteReference w:id="43"/>
      </w:r>
      <w:r>
        <w:t xml:space="preserve">. Buna mukabil, onun felsefi esasları, </w:t>
      </w:r>
      <w:proofErr w:type="spellStart"/>
      <w:r>
        <w:rPr>
          <w:i/>
        </w:rPr>
        <w:t>Reflections</w:t>
      </w:r>
      <w:proofErr w:type="spellEnd"/>
      <w:r>
        <w:rPr>
          <w:i/>
        </w:rPr>
        <w:t xml:space="preserve"> on </w:t>
      </w:r>
      <w:proofErr w:type="spellStart"/>
      <w:r>
        <w:rPr>
          <w:i/>
        </w:rPr>
        <w:t>the</w:t>
      </w:r>
      <w:proofErr w:type="spellEnd"/>
      <w:r>
        <w:rPr>
          <w:i/>
        </w:rPr>
        <w:t xml:space="preserve"> </w:t>
      </w:r>
      <w:proofErr w:type="spellStart"/>
      <w:r>
        <w:rPr>
          <w:i/>
        </w:rPr>
        <w:t>Revolution</w:t>
      </w:r>
      <w:proofErr w:type="spellEnd"/>
      <w:r>
        <w:rPr>
          <w:i/>
        </w:rPr>
        <w:t xml:space="preserve"> in France</w:t>
      </w:r>
      <w:r>
        <w:t xml:space="preserve"> adlı eseriyle </w:t>
      </w:r>
      <w:proofErr w:type="spellStart"/>
      <w:r>
        <w:t>Edmund</w:t>
      </w:r>
      <w:proofErr w:type="spellEnd"/>
      <w:r>
        <w:t xml:space="preserve"> </w:t>
      </w:r>
      <w:proofErr w:type="spellStart"/>
      <w:r>
        <w:t>Burke</w:t>
      </w:r>
      <w:proofErr w:type="spellEnd"/>
      <w:r>
        <w:t xml:space="preserve"> tarafından 1790’da Fransa’da ilk defa ortaya konmuştur</w:t>
      </w:r>
      <w:r>
        <w:rPr>
          <w:rStyle w:val="FootnoteReference"/>
        </w:rPr>
        <w:footnoteReference w:id="44"/>
      </w:r>
      <w:r>
        <w:t xml:space="preserve">. </w:t>
      </w:r>
    </w:p>
    <w:p w:rsidR="00F31102" w:rsidRDefault="00F31102" w:rsidP="00F31102">
      <w:pPr>
        <w:ind w:left="-360" w:right="-108" w:firstLine="360"/>
        <w:jc w:val="both"/>
      </w:pPr>
      <w:r>
        <w:lastRenderedPageBreak/>
        <w:t>Muhafazakârlığı tanımlamanın sezgisel yöntemi, muhafazakârların ‘muhafaza’ etmek için kullandıkları müesseseleri sayarak başlamaktır</w:t>
      </w:r>
      <w:r>
        <w:rPr>
          <w:rStyle w:val="FootnoteReference"/>
        </w:rPr>
        <w:footnoteReference w:id="45"/>
      </w:r>
      <w:r>
        <w:t xml:space="preserve">. Bunu başarmak, sanıldığının aksine, hiç de zor değildir. </w:t>
      </w:r>
      <w:proofErr w:type="gramStart"/>
      <w:r>
        <w:t xml:space="preserve">Muhafazakârlar, zamandan ve mekândan bağımsız olarak, kraliyet güçlerini, anayasal monarşiyi veya bir başka deyişle meşrutiyeti, asillerin imtiyazlarını, temsilî demokrasiyi, bir devlet başkanının idaresindeki müstebit devletleri, yüksek gümrük vergileri ile serbest ticareti, milliyetçiliği ve milletlerarası yaklaşımı savunan fikirleri, merkeziyetçilik ve adem-i merkeziyetçiliği, tevarüs edilen emlakı, pazar toplumunu veya ‘refah </w:t>
      </w:r>
      <w:proofErr w:type="spellStart"/>
      <w:r>
        <w:t>devleti’nin</w:t>
      </w:r>
      <w:proofErr w:type="spellEnd"/>
      <w:r>
        <w:t xml:space="preserve"> başka uyarlamalarını savunur</w:t>
      </w:r>
      <w:r>
        <w:rPr>
          <w:rStyle w:val="FootnoteReference"/>
        </w:rPr>
        <w:footnoteReference w:id="46"/>
      </w:r>
      <w:r>
        <w:t xml:space="preserve">. </w:t>
      </w:r>
      <w:proofErr w:type="gramEnd"/>
      <w:r>
        <w:t>Onların savundukları şeyler arasında, genel manasıyla din, hâlihazırda faaliyetini devam ettiren kilise gibi dini kurumlar ile aşırı dindarların ithamlarına karşı hükümetin kendini müdafaa edebilmesi için gerekli her şey vardır</w:t>
      </w:r>
      <w:r>
        <w:rPr>
          <w:rStyle w:val="FootnoteReference"/>
        </w:rPr>
        <w:footnoteReference w:id="47"/>
      </w:r>
      <w:r>
        <w:t>.</w:t>
      </w:r>
    </w:p>
    <w:p w:rsidR="00F31102" w:rsidRDefault="00F31102" w:rsidP="00F31102">
      <w:pPr>
        <w:ind w:left="-360" w:right="-108" w:firstLine="360"/>
        <w:jc w:val="both"/>
      </w:pPr>
      <w:r>
        <w:t xml:space="preserve">Muhafazakârlığın, kişi hak ve hürriyetleri bakımından tehdit oluşturabileceğine dair görüşler yok değildir. </w:t>
      </w:r>
      <w:proofErr w:type="spellStart"/>
      <w:r>
        <w:t>Ervin</w:t>
      </w:r>
      <w:proofErr w:type="spellEnd"/>
      <w:r>
        <w:t xml:space="preserve"> </w:t>
      </w:r>
      <w:proofErr w:type="spellStart"/>
      <w:r>
        <w:t>Chemerinsky</w:t>
      </w:r>
      <w:proofErr w:type="spellEnd"/>
      <w:r>
        <w:t xml:space="preserve">, </w:t>
      </w:r>
      <w:proofErr w:type="spellStart"/>
      <w:r>
        <w:rPr>
          <w:i/>
        </w:rPr>
        <w:t>The</w:t>
      </w:r>
      <w:proofErr w:type="spellEnd"/>
      <w:r>
        <w:rPr>
          <w:i/>
        </w:rPr>
        <w:t xml:space="preserve"> </w:t>
      </w:r>
      <w:proofErr w:type="spellStart"/>
      <w:r>
        <w:rPr>
          <w:i/>
        </w:rPr>
        <w:t>Conservative</w:t>
      </w:r>
      <w:proofErr w:type="spellEnd"/>
      <w:r>
        <w:rPr>
          <w:i/>
        </w:rPr>
        <w:t xml:space="preserve"> Assault on </w:t>
      </w:r>
      <w:proofErr w:type="spellStart"/>
      <w:r>
        <w:rPr>
          <w:i/>
        </w:rPr>
        <w:t>the</w:t>
      </w:r>
      <w:proofErr w:type="spellEnd"/>
      <w:r>
        <w:rPr>
          <w:i/>
        </w:rPr>
        <w:t xml:space="preserve"> </w:t>
      </w:r>
      <w:proofErr w:type="spellStart"/>
      <w:r>
        <w:rPr>
          <w:i/>
        </w:rPr>
        <w:t>Constitution</w:t>
      </w:r>
      <w:proofErr w:type="spellEnd"/>
      <w:r>
        <w:t xml:space="preserve"> adlı eserinde, siyasi sürecin suç işlemekle itham edilen kişileri korumayacağını ve koru-ya-</w:t>
      </w:r>
      <w:proofErr w:type="spellStart"/>
      <w:r>
        <w:t>mayacağını</w:t>
      </w:r>
      <w:proofErr w:type="spellEnd"/>
      <w:r>
        <w:t xml:space="preserve"> vurgulamaktadır</w:t>
      </w:r>
      <w:r>
        <w:rPr>
          <w:rStyle w:val="FootnoteReference"/>
        </w:rPr>
        <w:footnoteReference w:id="48"/>
      </w:r>
      <w:r>
        <w:t>. Yazar, Amerikan Yüksek Mahkemesi’nin sanık haklarına karşı takındığı tavrı bir ‘saldırı’ olarak nitelemekte; mahkemenin bu saldırısının anayasal güvencelerin altını dinamitleyerek siyasi muhafazakârlığa bir örnek teşkil ettiğinden dem vurmaktadır</w:t>
      </w:r>
      <w:r>
        <w:rPr>
          <w:rStyle w:val="FootnoteReference"/>
        </w:rPr>
        <w:footnoteReference w:id="49"/>
      </w:r>
      <w:r>
        <w:t xml:space="preserve">. Keza, kitabın muhtelif sayfalarında, kişi haklarını koruma hususunda hayati önemi olan, anayasaya aykırılık incelemesi yapmaya yetkili mahkemenin muhafazakâr yaklaşımı sert bir dille eleştirilmektedir. </w:t>
      </w:r>
      <w:proofErr w:type="spellStart"/>
      <w:r>
        <w:t>Chemerinsky’nin</w:t>
      </w:r>
      <w:proofErr w:type="spellEnd"/>
      <w:r>
        <w:t xml:space="preserve"> bu telakkisinden hareketle anayasa-muhafazakârlık ilişkisi hakkında söylenebilecek birkaç şey vardır. Bir kere, her ne kadar mevcut anayasa muhafazakâr olmasa bile onun, o şekilde yorumlanması, anayasayı taşıdığı siyasi renkten farklı bir renge boyayabilmektedir. Mesela </w:t>
      </w:r>
      <w:proofErr w:type="spellStart"/>
      <w:r>
        <w:t>Hayek’in</w:t>
      </w:r>
      <w:proofErr w:type="spellEnd"/>
      <w:r>
        <w:t xml:space="preserve"> arzuladığı cinsten liberal bir anayasaya sahip bir ülkede, anayasayı yorumlama yetkisini taşıyan bir mahkemenin sosyalist veya muhafazakâr bir tutum takınması, kaçınılmaz surette anayasanın özgün siyasi vasfını etkisizleştirecektir. Diğer yandan, hâlihazırdaki anayasal düzene aykırı olduğu iddia edilen muhafazakâr bağlayıcı kararlar, Amerika gibi bireyciliğin revaç bulduğu bir coğrafyada dahi ortaya çıkabilmekte ve ‘anayasaya ihanet etmek veya saldırmak’ ile suçlanabilmektedir. Bu da, şüpheye mahal vermeyecek şekilde, anayasa kavramını siyasi fikir tartışmalarının ortasına çekecektir.</w:t>
      </w:r>
    </w:p>
    <w:p w:rsidR="00F31102" w:rsidRDefault="00F31102" w:rsidP="00F31102">
      <w:pPr>
        <w:ind w:left="-360" w:right="-108" w:firstLine="360"/>
        <w:jc w:val="both"/>
      </w:pPr>
      <w:r>
        <w:t xml:space="preserve">Liberalizm bahsinde, Almanya’da liberalizmin etkileriyle ilgili görüşlerine yer verdiğimiz </w:t>
      </w:r>
      <w:proofErr w:type="spellStart"/>
      <w:r>
        <w:t>Congleton</w:t>
      </w:r>
      <w:proofErr w:type="spellEnd"/>
      <w:r>
        <w:t>, bu defa, aynı ülkedeki muhafazakâr eli mercek altına almaktadır. Buna göre, askeri tehditler ve bölgesel siyaset anlayışı hiç şüphesiz Prusya Anayasasının tasarlanmasında büyük bir rol oynamıştır</w:t>
      </w:r>
      <w:r>
        <w:rPr>
          <w:rStyle w:val="FootnoteReference"/>
        </w:rPr>
        <w:footnoteReference w:id="50"/>
      </w:r>
      <w:r>
        <w:t>. Liberalizme rağmen, anayasal pazarlıklar ve kurumsal muhafazakârlık açıkça görülmektedir</w:t>
      </w:r>
      <w:r>
        <w:rPr>
          <w:rStyle w:val="FootnoteReference"/>
        </w:rPr>
        <w:footnoteReference w:id="51"/>
      </w:r>
      <w:r>
        <w:t>.</w:t>
      </w:r>
    </w:p>
    <w:p w:rsidR="00F31102" w:rsidRDefault="00F31102" w:rsidP="00F31102">
      <w:pPr>
        <w:ind w:left="-360" w:right="-108" w:firstLine="360"/>
        <w:jc w:val="both"/>
      </w:pPr>
    </w:p>
    <w:p w:rsidR="00F31102" w:rsidRPr="009C7566" w:rsidRDefault="00F31102" w:rsidP="00F31102">
      <w:pPr>
        <w:numPr>
          <w:ilvl w:val="0"/>
          <w:numId w:val="1"/>
        </w:numPr>
        <w:ind w:left="-360" w:right="-108" w:firstLine="360"/>
        <w:jc w:val="both"/>
        <w:rPr>
          <w:b/>
        </w:rPr>
      </w:pPr>
      <w:r w:rsidRPr="009C7566">
        <w:rPr>
          <w:b/>
        </w:rPr>
        <w:t>MİLLİYETÇİLİK KAVRAMI VE ANAYASA</w:t>
      </w:r>
    </w:p>
    <w:p w:rsidR="00F31102" w:rsidRDefault="00F31102" w:rsidP="00F31102">
      <w:pPr>
        <w:ind w:left="-360" w:right="-108"/>
        <w:jc w:val="both"/>
        <w:rPr>
          <w:b/>
        </w:rPr>
      </w:pPr>
    </w:p>
    <w:p w:rsidR="00F31102" w:rsidRDefault="00F31102" w:rsidP="00F31102">
      <w:pPr>
        <w:ind w:left="-360" w:right="-108" w:firstLine="360"/>
        <w:jc w:val="both"/>
      </w:pPr>
      <w:r>
        <w:t>Liberalizm, sosyalizm ve muhafazakârlık üçlüsünün oluşturduğu büyük siyasi yelpazede kimilerine göre bazen yer bulamasa da, milliyetçiliği de anayasa kavramıyla irtibatlandırılması gereken bir fikir akımı olarak görmekte sakınca yoktur.</w:t>
      </w:r>
    </w:p>
    <w:p w:rsidR="00F31102" w:rsidRDefault="00F31102" w:rsidP="00F31102">
      <w:pPr>
        <w:ind w:left="-360" w:right="-108" w:firstLine="360"/>
        <w:jc w:val="both"/>
      </w:pPr>
      <w:r>
        <w:lastRenderedPageBreak/>
        <w:t>Milliyetçilik, “maddi ve manevi açılardan millet ve ülkesinin çıkarlarını her şeyin üstünde tutma anlayışı” olarak tanımlanabilir</w:t>
      </w:r>
      <w:r>
        <w:rPr>
          <w:rStyle w:val="FootnoteReference"/>
        </w:rPr>
        <w:footnoteReference w:id="52"/>
      </w:r>
      <w:r>
        <w:t xml:space="preserve">. Kavram, İngilizcede </w:t>
      </w:r>
      <w:proofErr w:type="spellStart"/>
      <w:r>
        <w:rPr>
          <w:i/>
        </w:rPr>
        <w:t>nationalism</w:t>
      </w:r>
      <w:proofErr w:type="spellEnd"/>
      <w:r>
        <w:t xml:space="preserve">, Almancada </w:t>
      </w:r>
      <w:proofErr w:type="spellStart"/>
      <w:r>
        <w:rPr>
          <w:i/>
        </w:rPr>
        <w:t>nationalismus</w:t>
      </w:r>
      <w:proofErr w:type="spellEnd"/>
      <w:r>
        <w:t xml:space="preserve">, Fransızcada </w:t>
      </w:r>
      <w:proofErr w:type="spellStart"/>
      <w:r>
        <w:rPr>
          <w:i/>
        </w:rPr>
        <w:t>nationalisme</w:t>
      </w:r>
      <w:proofErr w:type="spellEnd"/>
      <w:r>
        <w:rPr>
          <w:i/>
        </w:rPr>
        <w:t xml:space="preserve"> </w:t>
      </w:r>
      <w:r>
        <w:t xml:space="preserve">ile ifade edilmektedir. Etimoloji açısından, bunlar, Latince </w:t>
      </w:r>
      <w:proofErr w:type="spellStart"/>
      <w:r>
        <w:rPr>
          <w:i/>
        </w:rPr>
        <w:t>natus</w:t>
      </w:r>
      <w:proofErr w:type="spellEnd"/>
      <w:r>
        <w:t xml:space="preserve"> kökünden türeyen </w:t>
      </w:r>
      <w:proofErr w:type="spellStart"/>
      <w:r>
        <w:rPr>
          <w:i/>
        </w:rPr>
        <w:t>nasci</w:t>
      </w:r>
      <w:proofErr w:type="spellEnd"/>
      <w:r>
        <w:t>, yani ‘doğmuş olan’, ‘doğuştan olan’ anlamına gelen bir kelimeden türemiştir</w:t>
      </w:r>
      <w:r>
        <w:rPr>
          <w:rStyle w:val="FootnoteReference"/>
        </w:rPr>
        <w:footnoteReference w:id="53"/>
      </w:r>
      <w:r>
        <w:t>. Kavramı incelerken ister istemez ‘milli’, ‘milliyetçi’ gibi aynı kökten gelen kavramları da dikkate almak faydalı olabilecektir.</w:t>
      </w:r>
    </w:p>
    <w:p w:rsidR="00F31102" w:rsidRDefault="00F31102" w:rsidP="00F31102">
      <w:pPr>
        <w:ind w:left="-360" w:right="-108" w:firstLine="360"/>
        <w:jc w:val="both"/>
      </w:pPr>
      <w:r>
        <w:t xml:space="preserve">Kavramın çeşitli dillerdeki halleri arasında büyük benzerlikler olsa da, her bir dile ve dolayısıyla her bir millete mahsus milliyetçilik anlayışının farklı olduğu söylenebilir. Bu görüşe dil, kültür ve milli kimliğin ayrılmaz bir bütün oluşturduğunu ileri süren </w:t>
      </w:r>
      <w:proofErr w:type="spellStart"/>
      <w:r>
        <w:t>Herder</w:t>
      </w:r>
      <w:proofErr w:type="spellEnd"/>
      <w:r>
        <w:t xml:space="preserve"> ve </w:t>
      </w:r>
      <w:proofErr w:type="spellStart"/>
      <w:r>
        <w:t>Humboldt</w:t>
      </w:r>
      <w:proofErr w:type="spellEnd"/>
      <w:r>
        <w:t xml:space="preserve"> şahit gösterilebilecektir</w:t>
      </w:r>
      <w:r>
        <w:rPr>
          <w:rStyle w:val="FootnoteReference"/>
        </w:rPr>
        <w:footnoteReference w:id="54"/>
      </w:r>
      <w:r>
        <w:t xml:space="preserve">. Bir başka tabirle, Fransız </w:t>
      </w:r>
      <w:proofErr w:type="spellStart"/>
      <w:r>
        <w:rPr>
          <w:i/>
        </w:rPr>
        <w:t>nationalisme</w:t>
      </w:r>
      <w:r>
        <w:t>’i</w:t>
      </w:r>
      <w:proofErr w:type="spellEnd"/>
      <w:r>
        <w:t xml:space="preserve"> ile Alman </w:t>
      </w:r>
      <w:proofErr w:type="spellStart"/>
      <w:r>
        <w:rPr>
          <w:i/>
        </w:rPr>
        <w:t>nationalismus</w:t>
      </w:r>
      <w:r>
        <w:t>’u</w:t>
      </w:r>
      <w:proofErr w:type="spellEnd"/>
      <w:r>
        <w:t xml:space="preserve"> farklıdır. İlki vatandaşlık esasına dayanırken, ikincisi dil ve ırk birliğinden doğmuştur</w:t>
      </w:r>
      <w:r>
        <w:rPr>
          <w:rStyle w:val="FootnoteReference"/>
        </w:rPr>
        <w:footnoteReference w:id="55"/>
      </w:r>
      <w:r>
        <w:t>. Buradan hareketle, Türk ‘milliyetçiliğinin’ de kendine has bir yapıda olduğunu söylemek mümkündür. Bu yaklaşım farklılıkları kelime ve kavram düzeyinde de kalmamış; siyasi müktesebata ve anayasalara yansımıştır.</w:t>
      </w:r>
    </w:p>
    <w:p w:rsidR="00F31102" w:rsidRDefault="00F31102" w:rsidP="00F31102">
      <w:pPr>
        <w:ind w:left="-360" w:right="-108" w:firstLine="360"/>
        <w:jc w:val="both"/>
      </w:pPr>
      <w:r>
        <w:t>Bir kere, Türk anayasalarına baktığımızda milliyetçiliğin yansımalarına rastlamak kolaydır</w:t>
      </w:r>
      <w:r>
        <w:rPr>
          <w:rStyle w:val="FootnoteReference"/>
        </w:rPr>
        <w:footnoteReference w:id="56"/>
      </w:r>
      <w:r>
        <w:t>. 1924 Teşkilat-ı Esasiye Kanununda devletin nitelikleri arasında açıkça ‘</w:t>
      </w:r>
      <w:proofErr w:type="spellStart"/>
      <w:r>
        <w:t>milliyetçi’lik</w:t>
      </w:r>
      <w:proofErr w:type="spellEnd"/>
      <w:r>
        <w:t xml:space="preserve"> yer almaktadır. 1961 Anayasası, hukuki değer taşıyan başlangıç metninde Türk milliyetçiliğinden, 2. maddesinde ise devletin ‘milli’ olduğundan söz etmektedir. 1982 Anayasasının gerek başlangıç kısmında ‘Türk milli menfaatleri, Türk varlığı’ gibi güçlü ifadelerle, 2. maddesinde ise devletin nitelikleri arasında ‘Atatürk </w:t>
      </w:r>
      <w:proofErr w:type="spellStart"/>
      <w:r>
        <w:t>milliyetçiliği’ne</w:t>
      </w:r>
      <w:proofErr w:type="spellEnd"/>
      <w:r>
        <w:t xml:space="preserve"> bağlılık gösterilmek suretiyle bu akım kendine yer bulmuştur.</w:t>
      </w:r>
    </w:p>
    <w:p w:rsidR="00F31102" w:rsidRDefault="00F31102" w:rsidP="00F31102">
      <w:pPr>
        <w:ind w:left="-360" w:right="-108" w:firstLine="360"/>
        <w:jc w:val="both"/>
      </w:pPr>
      <w:r>
        <w:t>1949 Alman Anayasasında milliyetçiliğin Hitler dönemi Almanya’sındaki nasyonal sosyalizm haricinde zikredilmediğini</w:t>
      </w:r>
      <w:r>
        <w:rPr>
          <w:rStyle w:val="FootnoteReference"/>
        </w:rPr>
        <w:footnoteReference w:id="57"/>
      </w:r>
      <w:r>
        <w:t xml:space="preserve">, dolayısıyla dışlandığını gözlemlemek mümkündür. </w:t>
      </w:r>
    </w:p>
    <w:p w:rsidR="00F31102" w:rsidRDefault="00F31102" w:rsidP="00F31102">
      <w:pPr>
        <w:ind w:left="-360" w:right="-108" w:firstLine="360"/>
        <w:jc w:val="both"/>
      </w:pPr>
      <w:r>
        <w:t>Fransız Anayasasının pek çok yerinde ‘milli’ sıfatı bulunmaktadır. Mesela madde 3’te milli egemenlik (</w:t>
      </w:r>
      <w:proofErr w:type="spellStart"/>
      <w:r>
        <w:rPr>
          <w:i/>
        </w:rPr>
        <w:t>souveraineté</w:t>
      </w:r>
      <w:proofErr w:type="spellEnd"/>
      <w:r>
        <w:rPr>
          <w:i/>
        </w:rPr>
        <w:t xml:space="preserve"> </w:t>
      </w:r>
      <w:proofErr w:type="spellStart"/>
      <w:r>
        <w:rPr>
          <w:i/>
        </w:rPr>
        <w:t>nationale</w:t>
      </w:r>
      <w:proofErr w:type="spellEnd"/>
      <w:r>
        <w:t>), madde 5’te milli bağımsızlık (</w:t>
      </w:r>
      <w:proofErr w:type="spellStart"/>
      <w:r>
        <w:rPr>
          <w:i/>
        </w:rPr>
        <w:t>indépendance</w:t>
      </w:r>
      <w:proofErr w:type="spellEnd"/>
      <w:r>
        <w:rPr>
          <w:i/>
        </w:rPr>
        <w:t xml:space="preserve"> </w:t>
      </w:r>
      <w:proofErr w:type="spellStart"/>
      <w:r>
        <w:rPr>
          <w:i/>
        </w:rPr>
        <w:t>nationale</w:t>
      </w:r>
      <w:proofErr w:type="spellEnd"/>
      <w:r>
        <w:t>), madde 12’de milli meclis (</w:t>
      </w:r>
      <w:proofErr w:type="spellStart"/>
      <w:r>
        <w:rPr>
          <w:i/>
        </w:rPr>
        <w:t>Assemblée</w:t>
      </w:r>
      <w:proofErr w:type="spellEnd"/>
      <w:r>
        <w:rPr>
          <w:i/>
        </w:rPr>
        <w:t xml:space="preserve"> </w:t>
      </w:r>
      <w:proofErr w:type="spellStart"/>
      <w:r>
        <w:rPr>
          <w:i/>
        </w:rPr>
        <w:t>nationale</w:t>
      </w:r>
      <w:proofErr w:type="spellEnd"/>
      <w:r>
        <w:t>), madde 15’te milli savunma (</w:t>
      </w:r>
      <w:proofErr w:type="spellStart"/>
      <w:r>
        <w:rPr>
          <w:i/>
        </w:rPr>
        <w:t>défense</w:t>
      </w:r>
      <w:proofErr w:type="spellEnd"/>
      <w:r>
        <w:rPr>
          <w:i/>
        </w:rPr>
        <w:t xml:space="preserve"> </w:t>
      </w:r>
      <w:proofErr w:type="spellStart"/>
      <w:r>
        <w:rPr>
          <w:i/>
        </w:rPr>
        <w:t>nationale</w:t>
      </w:r>
      <w:proofErr w:type="spellEnd"/>
      <w:r>
        <w:t>) kavramları kullanılmıştır. Bunlardan başka 34. maddede Türk hukuk öğretisinde devletleştirme olarak ifade edilen, teşebbüsleri millileştirme (</w:t>
      </w:r>
      <w:proofErr w:type="spellStart"/>
      <w:r>
        <w:t>les</w:t>
      </w:r>
      <w:proofErr w:type="spellEnd"/>
      <w:r>
        <w:t xml:space="preserve"> </w:t>
      </w:r>
      <w:proofErr w:type="spellStart"/>
      <w:r>
        <w:rPr>
          <w:i/>
        </w:rPr>
        <w:t>nationalisations</w:t>
      </w:r>
      <w:proofErr w:type="spellEnd"/>
      <w:r>
        <w:rPr>
          <w:i/>
        </w:rPr>
        <w:t xml:space="preserve"> </w:t>
      </w:r>
      <w:proofErr w:type="spellStart"/>
      <w:r>
        <w:rPr>
          <w:i/>
        </w:rPr>
        <w:t>d’entreprises</w:t>
      </w:r>
      <w:proofErr w:type="spellEnd"/>
      <w:r>
        <w:t>) terimi dikkat çekicidir</w:t>
      </w:r>
      <w:r>
        <w:rPr>
          <w:rStyle w:val="FootnoteReference"/>
        </w:rPr>
        <w:footnoteReference w:id="58"/>
      </w:r>
      <w:r>
        <w:t>. Bununla beraber, Fransız anayasasında milliyetçilik kavramı kullanılmamıştır.</w:t>
      </w:r>
    </w:p>
    <w:p w:rsidR="00F31102" w:rsidRDefault="00F31102" w:rsidP="00F31102">
      <w:pPr>
        <w:ind w:left="-360" w:right="-108" w:firstLine="360"/>
        <w:jc w:val="both"/>
      </w:pPr>
      <w:proofErr w:type="gramStart"/>
      <w:r>
        <w:t>İtalya Anayasasında ‘milli’ kelimesi, seyahat özgürlüğünü düzenleyen 16. maddede özgürlüğün geçerli olduğu toprakları nitelemek maksadıyla ‘milli topraklar’ (</w:t>
      </w:r>
      <w:proofErr w:type="spellStart"/>
      <w:r>
        <w:rPr>
          <w:i/>
        </w:rPr>
        <w:t>territorio</w:t>
      </w:r>
      <w:proofErr w:type="spellEnd"/>
      <w:r>
        <w:rPr>
          <w:i/>
        </w:rPr>
        <w:t xml:space="preserve"> </w:t>
      </w:r>
      <w:proofErr w:type="spellStart"/>
      <w:r>
        <w:rPr>
          <w:i/>
        </w:rPr>
        <w:t>nazionale</w:t>
      </w:r>
      <w:proofErr w:type="spellEnd"/>
      <w:r>
        <w:t xml:space="preserve">, </w:t>
      </w:r>
      <w:proofErr w:type="spellStart"/>
      <w:r>
        <w:rPr>
          <w:i/>
        </w:rPr>
        <w:t>national</w:t>
      </w:r>
      <w:proofErr w:type="spellEnd"/>
      <w:r>
        <w:rPr>
          <w:i/>
        </w:rPr>
        <w:t xml:space="preserve"> </w:t>
      </w:r>
      <w:proofErr w:type="spellStart"/>
      <w:r>
        <w:rPr>
          <w:i/>
        </w:rPr>
        <w:t>territory</w:t>
      </w:r>
      <w:proofErr w:type="spellEnd"/>
      <w:r>
        <w:t>) şeklinde; siyasi partilere ilişkin 49. maddede siyasete katılma haklarını kullandıkları siyaseti nitelemek amacıyla ‘milli politika’ (</w:t>
      </w:r>
      <w:proofErr w:type="spellStart"/>
      <w:r>
        <w:rPr>
          <w:i/>
        </w:rPr>
        <w:t>politica</w:t>
      </w:r>
      <w:proofErr w:type="spellEnd"/>
      <w:r>
        <w:rPr>
          <w:i/>
        </w:rPr>
        <w:t xml:space="preserve"> </w:t>
      </w:r>
      <w:proofErr w:type="spellStart"/>
      <w:r>
        <w:rPr>
          <w:i/>
        </w:rPr>
        <w:lastRenderedPageBreak/>
        <w:t>nazionale</w:t>
      </w:r>
      <w:proofErr w:type="spellEnd"/>
      <w:r>
        <w:t xml:space="preserve">, </w:t>
      </w:r>
      <w:proofErr w:type="spellStart"/>
      <w:r>
        <w:rPr>
          <w:i/>
        </w:rPr>
        <w:t>national</w:t>
      </w:r>
      <w:proofErr w:type="spellEnd"/>
      <w:r>
        <w:rPr>
          <w:i/>
        </w:rPr>
        <w:t xml:space="preserve"> </w:t>
      </w:r>
      <w:proofErr w:type="spellStart"/>
      <w:r>
        <w:rPr>
          <w:i/>
        </w:rPr>
        <w:t>policy</w:t>
      </w:r>
      <w:proofErr w:type="spellEnd"/>
      <w:r>
        <w:t>) biçiminde; 99. maddede ‘İktisat ve İşgücü Milli Kurulu’ (</w:t>
      </w:r>
      <w:proofErr w:type="spellStart"/>
      <w:r>
        <w:rPr>
          <w:i/>
        </w:rPr>
        <w:t>Il</w:t>
      </w:r>
      <w:proofErr w:type="spellEnd"/>
      <w:r>
        <w:rPr>
          <w:i/>
        </w:rPr>
        <w:t xml:space="preserve"> </w:t>
      </w:r>
      <w:proofErr w:type="spellStart"/>
      <w:r>
        <w:rPr>
          <w:i/>
        </w:rPr>
        <w:t>Consiglio</w:t>
      </w:r>
      <w:proofErr w:type="spellEnd"/>
      <w:r>
        <w:rPr>
          <w:i/>
        </w:rPr>
        <w:t xml:space="preserve"> </w:t>
      </w:r>
      <w:proofErr w:type="spellStart"/>
      <w:r>
        <w:rPr>
          <w:i/>
        </w:rPr>
        <w:t>nazionale</w:t>
      </w:r>
      <w:proofErr w:type="spellEnd"/>
      <w:r>
        <w:rPr>
          <w:i/>
        </w:rPr>
        <w:t xml:space="preserve"> </w:t>
      </w:r>
      <w:proofErr w:type="spellStart"/>
      <w:r>
        <w:rPr>
          <w:i/>
        </w:rPr>
        <w:t>dell’economia</w:t>
      </w:r>
      <w:proofErr w:type="spellEnd"/>
      <w:r>
        <w:rPr>
          <w:i/>
        </w:rPr>
        <w:t xml:space="preserve"> e del </w:t>
      </w:r>
      <w:proofErr w:type="spellStart"/>
      <w:r>
        <w:rPr>
          <w:i/>
        </w:rPr>
        <w:t>lavoro</w:t>
      </w:r>
      <w:proofErr w:type="spellEnd"/>
      <w:r>
        <w:t xml:space="preserve">, </w:t>
      </w:r>
      <w:r>
        <w:rPr>
          <w:i/>
        </w:rPr>
        <w:t xml:space="preserve">National </w:t>
      </w:r>
      <w:proofErr w:type="spellStart"/>
      <w:r>
        <w:rPr>
          <w:i/>
        </w:rPr>
        <w:t>Council</w:t>
      </w:r>
      <w:proofErr w:type="spellEnd"/>
      <w:r>
        <w:rPr>
          <w:i/>
        </w:rPr>
        <w:t xml:space="preserve"> of </w:t>
      </w:r>
      <w:proofErr w:type="spellStart"/>
      <w:r>
        <w:rPr>
          <w:i/>
        </w:rPr>
        <w:t>Economy</w:t>
      </w:r>
      <w:proofErr w:type="spellEnd"/>
      <w:r>
        <w:rPr>
          <w:i/>
        </w:rPr>
        <w:t xml:space="preserve"> </w:t>
      </w:r>
      <w:proofErr w:type="spellStart"/>
      <w:r>
        <w:rPr>
          <w:i/>
        </w:rPr>
        <w:t>and</w:t>
      </w:r>
      <w:proofErr w:type="spellEnd"/>
      <w:r>
        <w:rPr>
          <w:i/>
        </w:rPr>
        <w:t xml:space="preserve"> </w:t>
      </w:r>
      <w:proofErr w:type="spellStart"/>
      <w:r>
        <w:rPr>
          <w:i/>
        </w:rPr>
        <w:t>Labor</w:t>
      </w:r>
      <w:proofErr w:type="spellEnd"/>
      <w:r>
        <w:t>) şeklinde; bölgesel yasama yetkisini düzenleyen 117. maddede hudutları, enerji dağıtım alanını ve başka unsurları niteleyecek surette; 126. maddede ‘milli güvenlik’ (</w:t>
      </w:r>
      <w:proofErr w:type="spellStart"/>
      <w:r>
        <w:rPr>
          <w:i/>
        </w:rPr>
        <w:t>sicurezza</w:t>
      </w:r>
      <w:proofErr w:type="spellEnd"/>
      <w:r>
        <w:rPr>
          <w:i/>
        </w:rPr>
        <w:t xml:space="preserve"> </w:t>
      </w:r>
      <w:proofErr w:type="spellStart"/>
      <w:r>
        <w:rPr>
          <w:i/>
        </w:rPr>
        <w:t>nazionale</w:t>
      </w:r>
      <w:proofErr w:type="spellEnd"/>
      <w:r>
        <w:t xml:space="preserve">, </w:t>
      </w:r>
      <w:proofErr w:type="spellStart"/>
      <w:r>
        <w:rPr>
          <w:i/>
        </w:rPr>
        <w:t>national</w:t>
      </w:r>
      <w:proofErr w:type="spellEnd"/>
      <w:r>
        <w:rPr>
          <w:i/>
        </w:rPr>
        <w:t xml:space="preserve"> </w:t>
      </w:r>
      <w:proofErr w:type="spellStart"/>
      <w:r>
        <w:rPr>
          <w:i/>
        </w:rPr>
        <w:t>security</w:t>
      </w:r>
      <w:proofErr w:type="spellEnd"/>
      <w:r>
        <w:t>) olarak yer almıştır</w:t>
      </w:r>
      <w:r>
        <w:rPr>
          <w:rStyle w:val="FootnoteReference"/>
        </w:rPr>
        <w:footnoteReference w:id="59"/>
      </w:r>
      <w:r>
        <w:t xml:space="preserve">. </w:t>
      </w:r>
      <w:proofErr w:type="gramEnd"/>
      <w:r>
        <w:t>Fakat milliyetçi veya milliyetçilik kavramlarına rastlanmamaktadır.</w:t>
      </w:r>
    </w:p>
    <w:p w:rsidR="009C7566" w:rsidRDefault="009C7566" w:rsidP="00F31102">
      <w:pPr>
        <w:ind w:left="-360" w:right="-108" w:firstLine="360"/>
        <w:jc w:val="both"/>
      </w:pPr>
    </w:p>
    <w:p w:rsidR="009C7566" w:rsidRDefault="009C7566" w:rsidP="009C7566">
      <w:pPr>
        <w:ind w:left="-360" w:right="-108" w:firstLine="360"/>
        <w:jc w:val="center"/>
      </w:pPr>
      <w:r>
        <w:t>***</w:t>
      </w:r>
    </w:p>
    <w:p w:rsidR="009C7566" w:rsidRDefault="009C7566" w:rsidP="009C7566">
      <w:pPr>
        <w:ind w:right="-108"/>
        <w:jc w:val="both"/>
      </w:pPr>
    </w:p>
    <w:p w:rsidR="009C7566" w:rsidRDefault="009C7566" w:rsidP="009C7566">
      <w:pPr>
        <w:ind w:right="-108" w:firstLine="708"/>
        <w:jc w:val="both"/>
      </w:pPr>
      <w:r>
        <w:t>Anayasa, ülkeden ülkeye değişen farklı renklere bürünebilen bir siyasi belge olarak görünmektedir. Başat siyasi akımlar dışında, irili ufaklı pek çok ideolojinin az veya çok oranda anayasalara yansıdığını söylemek mümkündür. Anayasa üzerine düşünürken</w:t>
      </w:r>
      <w:r w:rsidR="00055A6C">
        <w:t>, kavramın ifade edilen değişken mahiyetini ve tesiri altında kaldığı fikirleri göz önünde bulundurmak faydalı olacaktır.</w:t>
      </w:r>
    </w:p>
    <w:p w:rsidR="00F31102" w:rsidRDefault="00F31102" w:rsidP="00F31102">
      <w:pPr>
        <w:ind w:left="-360" w:right="-108" w:firstLine="360"/>
        <w:jc w:val="both"/>
      </w:pPr>
    </w:p>
    <w:p w:rsidR="00F31102" w:rsidRPr="009C7566" w:rsidRDefault="00F31102" w:rsidP="00F31102">
      <w:pPr>
        <w:ind w:left="-360" w:right="-108" w:firstLine="360"/>
        <w:jc w:val="both"/>
        <w:rPr>
          <w:b/>
        </w:rPr>
      </w:pPr>
      <w:r w:rsidRPr="009C7566">
        <w:rPr>
          <w:b/>
        </w:rPr>
        <w:t>KAYNAKÇA</w:t>
      </w:r>
    </w:p>
    <w:p w:rsidR="00F31102" w:rsidRPr="009C7566" w:rsidRDefault="00F31102" w:rsidP="00F31102">
      <w:pPr>
        <w:rPr>
          <w:b/>
        </w:rPr>
      </w:pPr>
    </w:p>
    <w:p w:rsidR="00F31102" w:rsidRPr="009C7566" w:rsidRDefault="00F31102" w:rsidP="00F31102">
      <w:pPr>
        <w:numPr>
          <w:ilvl w:val="0"/>
          <w:numId w:val="2"/>
        </w:numPr>
        <w:rPr>
          <w:b/>
        </w:rPr>
      </w:pPr>
      <w:r w:rsidRPr="009C7566">
        <w:rPr>
          <w:b/>
        </w:rPr>
        <w:t xml:space="preserve">AGRESTO, John, </w:t>
      </w:r>
      <w:proofErr w:type="spellStart"/>
      <w:r w:rsidRPr="009C7566">
        <w:rPr>
          <w:b/>
          <w:i/>
        </w:rPr>
        <w:t>The</w:t>
      </w:r>
      <w:proofErr w:type="spellEnd"/>
      <w:r w:rsidRPr="009C7566">
        <w:rPr>
          <w:b/>
          <w:i/>
        </w:rPr>
        <w:t xml:space="preserve"> </w:t>
      </w:r>
      <w:proofErr w:type="spellStart"/>
      <w:r w:rsidRPr="009C7566">
        <w:rPr>
          <w:b/>
          <w:i/>
        </w:rPr>
        <w:t>Supreme</w:t>
      </w:r>
      <w:proofErr w:type="spellEnd"/>
      <w:r w:rsidRPr="009C7566">
        <w:rPr>
          <w:b/>
          <w:i/>
        </w:rPr>
        <w:t xml:space="preserve"> Court </w:t>
      </w:r>
      <w:proofErr w:type="spellStart"/>
      <w:r w:rsidRPr="009C7566">
        <w:rPr>
          <w:b/>
          <w:i/>
        </w:rPr>
        <w:t>and</w:t>
      </w:r>
      <w:proofErr w:type="spellEnd"/>
      <w:r w:rsidRPr="009C7566">
        <w:rPr>
          <w:b/>
          <w:i/>
        </w:rPr>
        <w:t xml:space="preserve"> </w:t>
      </w:r>
      <w:proofErr w:type="spellStart"/>
      <w:r w:rsidRPr="009C7566">
        <w:rPr>
          <w:b/>
          <w:i/>
        </w:rPr>
        <w:t>American</w:t>
      </w:r>
      <w:proofErr w:type="spellEnd"/>
      <w:r w:rsidRPr="009C7566">
        <w:rPr>
          <w:b/>
          <w:i/>
        </w:rPr>
        <w:t xml:space="preserve"> </w:t>
      </w:r>
      <w:proofErr w:type="spellStart"/>
      <w:r w:rsidRPr="009C7566">
        <w:rPr>
          <w:b/>
          <w:i/>
        </w:rPr>
        <w:t>Democracy</w:t>
      </w:r>
      <w:proofErr w:type="spellEnd"/>
      <w:r w:rsidRPr="009C7566">
        <w:rPr>
          <w:b/>
        </w:rPr>
        <w:t xml:space="preserve">, Cornell </w:t>
      </w:r>
      <w:proofErr w:type="spellStart"/>
      <w:r w:rsidRPr="009C7566">
        <w:rPr>
          <w:b/>
        </w:rPr>
        <w:t>University</w:t>
      </w:r>
      <w:proofErr w:type="spellEnd"/>
      <w:r w:rsidRPr="009C7566">
        <w:rPr>
          <w:b/>
        </w:rPr>
        <w:t xml:space="preserve"> </w:t>
      </w:r>
      <w:proofErr w:type="spellStart"/>
      <w:r w:rsidRPr="009C7566">
        <w:rPr>
          <w:b/>
        </w:rPr>
        <w:t>Press</w:t>
      </w:r>
      <w:proofErr w:type="spellEnd"/>
      <w:r w:rsidRPr="009C7566">
        <w:rPr>
          <w:b/>
        </w:rPr>
        <w:t>, 1984</w:t>
      </w:r>
    </w:p>
    <w:p w:rsidR="0065182F" w:rsidRPr="009C7566" w:rsidRDefault="00F31102" w:rsidP="00F31102">
      <w:pPr>
        <w:numPr>
          <w:ilvl w:val="0"/>
          <w:numId w:val="2"/>
        </w:numPr>
        <w:rPr>
          <w:b/>
        </w:rPr>
      </w:pPr>
      <w:r w:rsidRPr="009C7566">
        <w:rPr>
          <w:b/>
        </w:rPr>
        <w:t>BARNUM, David G</w:t>
      </w:r>
      <w:proofErr w:type="gramStart"/>
      <w:r w:rsidRPr="009C7566">
        <w:rPr>
          <w:b/>
        </w:rPr>
        <w:t>.,</w:t>
      </w:r>
      <w:proofErr w:type="gramEnd"/>
      <w:r w:rsidRPr="009C7566">
        <w:rPr>
          <w:b/>
        </w:rPr>
        <w:t xml:space="preserve"> </w:t>
      </w:r>
      <w:proofErr w:type="spellStart"/>
      <w:r w:rsidRPr="009C7566">
        <w:rPr>
          <w:b/>
          <w:i/>
        </w:rPr>
        <w:t>The</w:t>
      </w:r>
      <w:proofErr w:type="spellEnd"/>
      <w:r w:rsidRPr="009C7566">
        <w:rPr>
          <w:b/>
          <w:i/>
        </w:rPr>
        <w:t xml:space="preserve"> </w:t>
      </w:r>
      <w:proofErr w:type="spellStart"/>
      <w:r w:rsidRPr="009C7566">
        <w:rPr>
          <w:b/>
          <w:i/>
        </w:rPr>
        <w:t>Supreme</w:t>
      </w:r>
      <w:proofErr w:type="spellEnd"/>
      <w:r w:rsidRPr="009C7566">
        <w:rPr>
          <w:b/>
          <w:i/>
        </w:rPr>
        <w:t xml:space="preserve"> Court </w:t>
      </w:r>
      <w:proofErr w:type="spellStart"/>
      <w:r w:rsidRPr="009C7566">
        <w:rPr>
          <w:b/>
          <w:i/>
        </w:rPr>
        <w:t>and</w:t>
      </w:r>
      <w:proofErr w:type="spellEnd"/>
      <w:r w:rsidRPr="009C7566">
        <w:rPr>
          <w:b/>
          <w:i/>
        </w:rPr>
        <w:t xml:space="preserve"> </w:t>
      </w:r>
      <w:proofErr w:type="spellStart"/>
      <w:r w:rsidRPr="009C7566">
        <w:rPr>
          <w:b/>
          <w:i/>
        </w:rPr>
        <w:t>American</w:t>
      </w:r>
      <w:proofErr w:type="spellEnd"/>
      <w:r w:rsidRPr="009C7566">
        <w:rPr>
          <w:b/>
          <w:i/>
        </w:rPr>
        <w:t xml:space="preserve"> </w:t>
      </w:r>
      <w:proofErr w:type="spellStart"/>
      <w:r w:rsidRPr="009C7566">
        <w:rPr>
          <w:b/>
          <w:i/>
        </w:rPr>
        <w:t>Democracy</w:t>
      </w:r>
      <w:proofErr w:type="spellEnd"/>
      <w:r w:rsidRPr="009C7566">
        <w:rPr>
          <w:b/>
        </w:rPr>
        <w:t xml:space="preserve">, St. </w:t>
      </w:r>
      <w:proofErr w:type="spellStart"/>
      <w:r w:rsidRPr="009C7566">
        <w:rPr>
          <w:b/>
        </w:rPr>
        <w:t>Martin’s</w:t>
      </w:r>
      <w:proofErr w:type="spellEnd"/>
      <w:r w:rsidRPr="009C7566">
        <w:rPr>
          <w:b/>
        </w:rPr>
        <w:t xml:space="preserve"> </w:t>
      </w:r>
      <w:proofErr w:type="spellStart"/>
      <w:r w:rsidRPr="009C7566">
        <w:rPr>
          <w:b/>
        </w:rPr>
        <w:t>Press</w:t>
      </w:r>
      <w:proofErr w:type="spellEnd"/>
      <w:r w:rsidRPr="009C7566">
        <w:rPr>
          <w:b/>
        </w:rPr>
        <w:t>, 1993</w:t>
      </w:r>
    </w:p>
    <w:p w:rsidR="00F31102" w:rsidRPr="009C7566" w:rsidRDefault="00822402" w:rsidP="00F31102">
      <w:pPr>
        <w:numPr>
          <w:ilvl w:val="0"/>
          <w:numId w:val="2"/>
        </w:numPr>
        <w:rPr>
          <w:b/>
        </w:rPr>
      </w:pPr>
      <w:r w:rsidRPr="009C7566">
        <w:rPr>
          <w:b/>
        </w:rPr>
        <w:t>BASIC LAW</w:t>
      </w:r>
      <w:r w:rsidR="00F31102" w:rsidRPr="009C7566">
        <w:rPr>
          <w:b/>
        </w:rPr>
        <w:t xml:space="preserve"> </w:t>
      </w:r>
      <w:proofErr w:type="spellStart"/>
      <w:r w:rsidR="00F31102" w:rsidRPr="009C7566">
        <w:rPr>
          <w:b/>
        </w:rPr>
        <w:t>for</w:t>
      </w:r>
      <w:proofErr w:type="spellEnd"/>
      <w:r w:rsidR="00F31102" w:rsidRPr="009C7566">
        <w:rPr>
          <w:b/>
        </w:rPr>
        <w:t xml:space="preserve"> </w:t>
      </w:r>
      <w:proofErr w:type="spellStart"/>
      <w:r w:rsidR="00F31102" w:rsidRPr="009C7566">
        <w:rPr>
          <w:b/>
        </w:rPr>
        <w:t>the</w:t>
      </w:r>
      <w:proofErr w:type="spellEnd"/>
      <w:r w:rsidR="00F31102" w:rsidRPr="009C7566">
        <w:rPr>
          <w:b/>
        </w:rPr>
        <w:t xml:space="preserve"> Federal </w:t>
      </w:r>
      <w:proofErr w:type="spellStart"/>
      <w:r w:rsidR="00F31102" w:rsidRPr="009C7566">
        <w:rPr>
          <w:b/>
        </w:rPr>
        <w:t>Republic</w:t>
      </w:r>
      <w:proofErr w:type="spellEnd"/>
      <w:r w:rsidR="00F31102" w:rsidRPr="009C7566">
        <w:rPr>
          <w:b/>
        </w:rPr>
        <w:t xml:space="preserve"> of Germany, </w:t>
      </w:r>
      <w:hyperlink r:id="rId8" w:history="1">
        <w:r w:rsidR="00F31102" w:rsidRPr="009C7566">
          <w:rPr>
            <w:rStyle w:val="Hyperlink"/>
            <w:b/>
          </w:rPr>
          <w:t>http://constitution.org/cons/germany.txt</w:t>
        </w:r>
      </w:hyperlink>
    </w:p>
    <w:p w:rsidR="00F31102" w:rsidRPr="009C7566" w:rsidRDefault="00F31102" w:rsidP="00F31102">
      <w:pPr>
        <w:numPr>
          <w:ilvl w:val="0"/>
          <w:numId w:val="2"/>
        </w:numPr>
        <w:rPr>
          <w:b/>
        </w:rPr>
      </w:pPr>
      <w:r w:rsidRPr="009C7566">
        <w:rPr>
          <w:b/>
        </w:rPr>
        <w:t>BAYLY, C. A</w:t>
      </w:r>
      <w:proofErr w:type="gramStart"/>
      <w:r w:rsidRPr="009C7566">
        <w:rPr>
          <w:b/>
        </w:rPr>
        <w:t>.,</w:t>
      </w:r>
      <w:proofErr w:type="gramEnd"/>
      <w:r w:rsidRPr="009C7566">
        <w:rPr>
          <w:b/>
        </w:rPr>
        <w:t xml:space="preserve"> </w:t>
      </w:r>
      <w:proofErr w:type="spellStart"/>
      <w:r w:rsidRPr="009C7566">
        <w:rPr>
          <w:b/>
          <w:i/>
        </w:rPr>
        <w:t>Indian</w:t>
      </w:r>
      <w:proofErr w:type="spellEnd"/>
      <w:r w:rsidRPr="009C7566">
        <w:rPr>
          <w:b/>
          <w:i/>
        </w:rPr>
        <w:t xml:space="preserve"> </w:t>
      </w:r>
      <w:proofErr w:type="spellStart"/>
      <w:r w:rsidRPr="009C7566">
        <w:rPr>
          <w:b/>
          <w:i/>
        </w:rPr>
        <w:t>Thought</w:t>
      </w:r>
      <w:proofErr w:type="spellEnd"/>
      <w:r w:rsidRPr="009C7566">
        <w:rPr>
          <w:b/>
          <w:i/>
        </w:rPr>
        <w:t xml:space="preserve"> in </w:t>
      </w:r>
      <w:proofErr w:type="spellStart"/>
      <w:r w:rsidRPr="009C7566">
        <w:rPr>
          <w:b/>
          <w:i/>
        </w:rPr>
        <w:t>the</w:t>
      </w:r>
      <w:proofErr w:type="spellEnd"/>
      <w:r w:rsidRPr="009C7566">
        <w:rPr>
          <w:b/>
          <w:i/>
        </w:rPr>
        <w:t xml:space="preserve"> Age of </w:t>
      </w:r>
      <w:proofErr w:type="spellStart"/>
      <w:r w:rsidRPr="009C7566">
        <w:rPr>
          <w:b/>
          <w:i/>
        </w:rPr>
        <w:t>Liberalism</w:t>
      </w:r>
      <w:proofErr w:type="spellEnd"/>
      <w:r w:rsidRPr="009C7566">
        <w:rPr>
          <w:b/>
          <w:i/>
        </w:rPr>
        <w:t xml:space="preserve"> </w:t>
      </w:r>
      <w:proofErr w:type="spellStart"/>
      <w:r w:rsidRPr="009C7566">
        <w:rPr>
          <w:b/>
          <w:i/>
        </w:rPr>
        <w:t>and</w:t>
      </w:r>
      <w:proofErr w:type="spellEnd"/>
      <w:r w:rsidRPr="009C7566">
        <w:rPr>
          <w:b/>
          <w:i/>
        </w:rPr>
        <w:t xml:space="preserve"> </w:t>
      </w:r>
      <w:proofErr w:type="spellStart"/>
      <w:r w:rsidRPr="009C7566">
        <w:rPr>
          <w:b/>
          <w:i/>
        </w:rPr>
        <w:t>Empire</w:t>
      </w:r>
      <w:proofErr w:type="spellEnd"/>
      <w:r w:rsidRPr="009C7566">
        <w:rPr>
          <w:b/>
        </w:rPr>
        <w:t xml:space="preserve">, </w:t>
      </w:r>
      <w:proofErr w:type="spellStart"/>
      <w:r w:rsidRPr="009C7566">
        <w:rPr>
          <w:b/>
        </w:rPr>
        <w:t>Newyork</w:t>
      </w:r>
      <w:proofErr w:type="spellEnd"/>
      <w:r w:rsidRPr="009C7566">
        <w:rPr>
          <w:b/>
        </w:rPr>
        <w:t xml:space="preserve">, Cambridge </w:t>
      </w:r>
      <w:proofErr w:type="spellStart"/>
      <w:r w:rsidRPr="009C7566">
        <w:rPr>
          <w:b/>
        </w:rPr>
        <w:t>University</w:t>
      </w:r>
      <w:proofErr w:type="spellEnd"/>
      <w:r w:rsidRPr="009C7566">
        <w:rPr>
          <w:b/>
        </w:rPr>
        <w:t xml:space="preserve"> </w:t>
      </w:r>
      <w:proofErr w:type="spellStart"/>
      <w:r w:rsidRPr="009C7566">
        <w:rPr>
          <w:b/>
        </w:rPr>
        <w:t>Press</w:t>
      </w:r>
      <w:proofErr w:type="spellEnd"/>
      <w:r w:rsidRPr="009C7566">
        <w:rPr>
          <w:b/>
        </w:rPr>
        <w:t>, 2011</w:t>
      </w:r>
    </w:p>
    <w:p w:rsidR="00F31102" w:rsidRPr="009C7566" w:rsidRDefault="00F31102" w:rsidP="00F31102">
      <w:pPr>
        <w:numPr>
          <w:ilvl w:val="0"/>
          <w:numId w:val="2"/>
        </w:numPr>
        <w:rPr>
          <w:b/>
        </w:rPr>
      </w:pPr>
      <w:r w:rsidRPr="009C7566">
        <w:rPr>
          <w:b/>
        </w:rPr>
        <w:t xml:space="preserve">CHEMERINSKY, </w:t>
      </w:r>
      <w:proofErr w:type="spellStart"/>
      <w:r w:rsidRPr="009C7566">
        <w:rPr>
          <w:b/>
        </w:rPr>
        <w:t>Ervin</w:t>
      </w:r>
      <w:proofErr w:type="spellEnd"/>
      <w:r w:rsidRPr="009C7566">
        <w:rPr>
          <w:b/>
        </w:rPr>
        <w:t xml:space="preserve">, </w:t>
      </w:r>
      <w:proofErr w:type="spellStart"/>
      <w:r w:rsidRPr="009C7566">
        <w:rPr>
          <w:b/>
          <w:i/>
        </w:rPr>
        <w:t>The</w:t>
      </w:r>
      <w:proofErr w:type="spellEnd"/>
      <w:r w:rsidRPr="009C7566">
        <w:rPr>
          <w:b/>
          <w:i/>
        </w:rPr>
        <w:t xml:space="preserve"> </w:t>
      </w:r>
      <w:proofErr w:type="spellStart"/>
      <w:r w:rsidRPr="009C7566">
        <w:rPr>
          <w:b/>
          <w:i/>
        </w:rPr>
        <w:t>Conservative</w:t>
      </w:r>
      <w:proofErr w:type="spellEnd"/>
      <w:r w:rsidRPr="009C7566">
        <w:rPr>
          <w:b/>
          <w:i/>
        </w:rPr>
        <w:t xml:space="preserve"> Assault on </w:t>
      </w:r>
      <w:proofErr w:type="spellStart"/>
      <w:r w:rsidRPr="009C7566">
        <w:rPr>
          <w:b/>
          <w:i/>
        </w:rPr>
        <w:t>the</w:t>
      </w:r>
      <w:proofErr w:type="spellEnd"/>
      <w:r w:rsidRPr="009C7566">
        <w:rPr>
          <w:b/>
          <w:i/>
        </w:rPr>
        <w:t xml:space="preserve"> </w:t>
      </w:r>
      <w:proofErr w:type="spellStart"/>
      <w:r w:rsidRPr="009C7566">
        <w:rPr>
          <w:b/>
          <w:i/>
        </w:rPr>
        <w:t>Constitution</w:t>
      </w:r>
      <w:proofErr w:type="spellEnd"/>
      <w:r w:rsidRPr="009C7566">
        <w:rPr>
          <w:b/>
        </w:rPr>
        <w:t xml:space="preserve">, </w:t>
      </w:r>
      <w:proofErr w:type="spellStart"/>
      <w:r w:rsidRPr="009C7566">
        <w:rPr>
          <w:b/>
        </w:rPr>
        <w:t>Simon&amp;Schuster</w:t>
      </w:r>
      <w:proofErr w:type="spellEnd"/>
      <w:r w:rsidRPr="009C7566">
        <w:rPr>
          <w:b/>
        </w:rPr>
        <w:t>, 2010</w:t>
      </w:r>
    </w:p>
    <w:p w:rsidR="00F31102" w:rsidRPr="009C7566" w:rsidRDefault="00F31102" w:rsidP="00F31102">
      <w:pPr>
        <w:numPr>
          <w:ilvl w:val="0"/>
          <w:numId w:val="2"/>
        </w:numPr>
        <w:rPr>
          <w:b/>
        </w:rPr>
      </w:pPr>
      <w:r w:rsidRPr="009C7566">
        <w:rPr>
          <w:b/>
        </w:rPr>
        <w:t xml:space="preserve">CONGLETON, </w:t>
      </w:r>
      <w:proofErr w:type="spellStart"/>
      <w:r w:rsidRPr="009C7566">
        <w:rPr>
          <w:b/>
        </w:rPr>
        <w:t>Roger</w:t>
      </w:r>
      <w:proofErr w:type="spellEnd"/>
      <w:r w:rsidRPr="009C7566">
        <w:rPr>
          <w:b/>
        </w:rPr>
        <w:t xml:space="preserve"> D</w:t>
      </w:r>
      <w:proofErr w:type="gramStart"/>
      <w:r w:rsidRPr="009C7566">
        <w:rPr>
          <w:b/>
        </w:rPr>
        <w:t>.,</w:t>
      </w:r>
      <w:proofErr w:type="gramEnd"/>
      <w:r w:rsidRPr="009C7566">
        <w:rPr>
          <w:b/>
        </w:rPr>
        <w:t xml:space="preserve"> </w:t>
      </w:r>
      <w:proofErr w:type="spellStart"/>
      <w:r w:rsidRPr="009C7566">
        <w:rPr>
          <w:b/>
          <w:i/>
        </w:rPr>
        <w:t>Perfecting</w:t>
      </w:r>
      <w:proofErr w:type="spellEnd"/>
      <w:r w:rsidRPr="009C7566">
        <w:rPr>
          <w:b/>
          <w:i/>
        </w:rPr>
        <w:t xml:space="preserve"> </w:t>
      </w:r>
      <w:proofErr w:type="spellStart"/>
      <w:r w:rsidRPr="009C7566">
        <w:rPr>
          <w:b/>
          <w:i/>
        </w:rPr>
        <w:t>Parliament</w:t>
      </w:r>
      <w:proofErr w:type="spellEnd"/>
      <w:r w:rsidRPr="009C7566">
        <w:rPr>
          <w:b/>
          <w:i/>
        </w:rPr>
        <w:t xml:space="preserve">: Constitutional Reform, </w:t>
      </w:r>
      <w:proofErr w:type="spellStart"/>
      <w:r w:rsidRPr="009C7566">
        <w:rPr>
          <w:b/>
          <w:i/>
        </w:rPr>
        <w:t>Liberalism</w:t>
      </w:r>
      <w:proofErr w:type="spellEnd"/>
      <w:r w:rsidRPr="009C7566">
        <w:rPr>
          <w:b/>
          <w:i/>
        </w:rPr>
        <w:t xml:space="preserve">, </w:t>
      </w:r>
      <w:proofErr w:type="spellStart"/>
      <w:r w:rsidRPr="009C7566">
        <w:rPr>
          <w:b/>
          <w:i/>
        </w:rPr>
        <w:t>and</w:t>
      </w:r>
      <w:proofErr w:type="spellEnd"/>
      <w:r w:rsidRPr="009C7566">
        <w:rPr>
          <w:b/>
          <w:i/>
        </w:rPr>
        <w:t xml:space="preserve"> </w:t>
      </w:r>
      <w:proofErr w:type="spellStart"/>
      <w:r w:rsidRPr="009C7566">
        <w:rPr>
          <w:b/>
          <w:i/>
        </w:rPr>
        <w:t>the</w:t>
      </w:r>
      <w:proofErr w:type="spellEnd"/>
      <w:r w:rsidRPr="009C7566">
        <w:rPr>
          <w:b/>
          <w:i/>
        </w:rPr>
        <w:t xml:space="preserve"> Rise of Western </w:t>
      </w:r>
      <w:proofErr w:type="spellStart"/>
      <w:r w:rsidRPr="009C7566">
        <w:rPr>
          <w:b/>
          <w:i/>
        </w:rPr>
        <w:t>Democracy</w:t>
      </w:r>
      <w:proofErr w:type="spellEnd"/>
      <w:r w:rsidRPr="009C7566">
        <w:rPr>
          <w:b/>
        </w:rPr>
        <w:t xml:space="preserve">, </w:t>
      </w:r>
      <w:proofErr w:type="spellStart"/>
      <w:r w:rsidRPr="009C7566">
        <w:rPr>
          <w:b/>
        </w:rPr>
        <w:t>Newyork</w:t>
      </w:r>
      <w:proofErr w:type="spellEnd"/>
      <w:r w:rsidRPr="009C7566">
        <w:rPr>
          <w:b/>
        </w:rPr>
        <w:t xml:space="preserve">, Cambridge </w:t>
      </w:r>
      <w:proofErr w:type="spellStart"/>
      <w:r w:rsidRPr="009C7566">
        <w:rPr>
          <w:b/>
        </w:rPr>
        <w:t>University</w:t>
      </w:r>
      <w:proofErr w:type="spellEnd"/>
      <w:r w:rsidRPr="009C7566">
        <w:rPr>
          <w:b/>
        </w:rPr>
        <w:t xml:space="preserve"> </w:t>
      </w:r>
      <w:proofErr w:type="spellStart"/>
      <w:r w:rsidRPr="009C7566">
        <w:rPr>
          <w:b/>
        </w:rPr>
        <w:t>Press</w:t>
      </w:r>
      <w:proofErr w:type="spellEnd"/>
      <w:r w:rsidRPr="009C7566">
        <w:rPr>
          <w:b/>
        </w:rPr>
        <w:t>, 2011</w:t>
      </w:r>
    </w:p>
    <w:p w:rsidR="00F31102" w:rsidRPr="009C7566" w:rsidRDefault="00F31102" w:rsidP="00F31102">
      <w:pPr>
        <w:numPr>
          <w:ilvl w:val="0"/>
          <w:numId w:val="2"/>
        </w:numPr>
        <w:rPr>
          <w:b/>
        </w:rPr>
      </w:pPr>
      <w:r w:rsidRPr="009C7566">
        <w:rPr>
          <w:b/>
        </w:rPr>
        <w:t xml:space="preserve">COOK, </w:t>
      </w:r>
      <w:proofErr w:type="spellStart"/>
      <w:r w:rsidRPr="009C7566">
        <w:rPr>
          <w:b/>
        </w:rPr>
        <w:t>Curtis</w:t>
      </w:r>
      <w:proofErr w:type="spellEnd"/>
      <w:r w:rsidRPr="009C7566">
        <w:rPr>
          <w:b/>
        </w:rPr>
        <w:t xml:space="preserve"> (ed.), </w:t>
      </w:r>
      <w:r w:rsidRPr="009C7566">
        <w:rPr>
          <w:b/>
          <w:i/>
        </w:rPr>
        <w:t xml:space="preserve">Constitutional </w:t>
      </w:r>
      <w:proofErr w:type="spellStart"/>
      <w:r w:rsidRPr="009C7566">
        <w:rPr>
          <w:b/>
          <w:i/>
        </w:rPr>
        <w:t>Predicament</w:t>
      </w:r>
      <w:proofErr w:type="spellEnd"/>
      <w:r w:rsidRPr="009C7566">
        <w:rPr>
          <w:b/>
          <w:i/>
        </w:rPr>
        <w:t xml:space="preserve">: </w:t>
      </w:r>
      <w:proofErr w:type="spellStart"/>
      <w:r w:rsidRPr="009C7566">
        <w:rPr>
          <w:b/>
          <w:i/>
        </w:rPr>
        <w:t>Canada</w:t>
      </w:r>
      <w:proofErr w:type="spellEnd"/>
      <w:r w:rsidRPr="009C7566">
        <w:rPr>
          <w:b/>
          <w:i/>
        </w:rPr>
        <w:t xml:space="preserve"> </w:t>
      </w:r>
      <w:proofErr w:type="spellStart"/>
      <w:r w:rsidRPr="009C7566">
        <w:rPr>
          <w:b/>
          <w:i/>
        </w:rPr>
        <w:t>After</w:t>
      </w:r>
      <w:proofErr w:type="spellEnd"/>
      <w:r w:rsidRPr="009C7566">
        <w:rPr>
          <w:b/>
          <w:i/>
        </w:rPr>
        <w:t xml:space="preserve"> </w:t>
      </w:r>
      <w:proofErr w:type="spellStart"/>
      <w:r w:rsidRPr="009C7566">
        <w:rPr>
          <w:b/>
          <w:i/>
        </w:rPr>
        <w:t>the</w:t>
      </w:r>
      <w:proofErr w:type="spellEnd"/>
      <w:r w:rsidRPr="009C7566">
        <w:rPr>
          <w:b/>
          <w:i/>
        </w:rPr>
        <w:t xml:space="preserve"> </w:t>
      </w:r>
      <w:proofErr w:type="spellStart"/>
      <w:r w:rsidRPr="009C7566">
        <w:rPr>
          <w:b/>
          <w:i/>
        </w:rPr>
        <w:t>Referendum</w:t>
      </w:r>
      <w:proofErr w:type="spellEnd"/>
      <w:r w:rsidRPr="009C7566">
        <w:rPr>
          <w:b/>
          <w:i/>
        </w:rPr>
        <w:t xml:space="preserve"> of 1992</w:t>
      </w:r>
      <w:r w:rsidRPr="009C7566">
        <w:rPr>
          <w:b/>
        </w:rPr>
        <w:t xml:space="preserve">, </w:t>
      </w:r>
      <w:proofErr w:type="spellStart"/>
      <w:r w:rsidRPr="009C7566">
        <w:rPr>
          <w:b/>
        </w:rPr>
        <w:t>McGill-Queen’s</w:t>
      </w:r>
      <w:proofErr w:type="spellEnd"/>
      <w:r w:rsidRPr="009C7566">
        <w:rPr>
          <w:b/>
        </w:rPr>
        <w:t xml:space="preserve"> </w:t>
      </w:r>
      <w:proofErr w:type="spellStart"/>
      <w:r w:rsidRPr="009C7566">
        <w:rPr>
          <w:b/>
        </w:rPr>
        <w:t>University</w:t>
      </w:r>
      <w:proofErr w:type="spellEnd"/>
      <w:r w:rsidRPr="009C7566">
        <w:rPr>
          <w:b/>
        </w:rPr>
        <w:t xml:space="preserve"> </w:t>
      </w:r>
      <w:proofErr w:type="spellStart"/>
      <w:r w:rsidRPr="009C7566">
        <w:rPr>
          <w:b/>
        </w:rPr>
        <w:t>Press</w:t>
      </w:r>
      <w:proofErr w:type="spellEnd"/>
      <w:r w:rsidRPr="009C7566">
        <w:rPr>
          <w:b/>
        </w:rPr>
        <w:t>, 1994</w:t>
      </w:r>
    </w:p>
    <w:p w:rsidR="00822402" w:rsidRPr="009C7566" w:rsidRDefault="00822402" w:rsidP="00F31102">
      <w:pPr>
        <w:numPr>
          <w:ilvl w:val="0"/>
          <w:numId w:val="2"/>
        </w:numPr>
        <w:rPr>
          <w:b/>
        </w:rPr>
      </w:pPr>
      <w:r w:rsidRPr="009C7566">
        <w:rPr>
          <w:b/>
        </w:rPr>
        <w:t xml:space="preserve">COSTITUZIONE </w:t>
      </w:r>
      <w:proofErr w:type="spellStart"/>
      <w:r w:rsidRPr="009C7566">
        <w:rPr>
          <w:b/>
        </w:rPr>
        <w:t>Della</w:t>
      </w:r>
      <w:proofErr w:type="spellEnd"/>
      <w:r w:rsidRPr="009C7566">
        <w:rPr>
          <w:b/>
        </w:rPr>
        <w:t xml:space="preserve"> </w:t>
      </w:r>
      <w:proofErr w:type="spellStart"/>
      <w:r w:rsidRPr="009C7566">
        <w:rPr>
          <w:b/>
        </w:rPr>
        <w:t>Repubblica</w:t>
      </w:r>
      <w:proofErr w:type="spellEnd"/>
      <w:r w:rsidRPr="009C7566">
        <w:rPr>
          <w:b/>
        </w:rPr>
        <w:t xml:space="preserve"> </w:t>
      </w:r>
      <w:proofErr w:type="spellStart"/>
      <w:r w:rsidRPr="009C7566">
        <w:rPr>
          <w:b/>
        </w:rPr>
        <w:t>Italiana</w:t>
      </w:r>
      <w:proofErr w:type="spellEnd"/>
      <w:r w:rsidRPr="009C7566">
        <w:rPr>
          <w:b/>
        </w:rPr>
        <w:t xml:space="preserve">, </w:t>
      </w:r>
      <w:hyperlink r:id="rId9" w:history="1">
        <w:r w:rsidRPr="009C7566">
          <w:rPr>
            <w:rStyle w:val="Hyperlink"/>
            <w:b/>
          </w:rPr>
          <w:t>http://constitution.org/cons/italy.txt</w:t>
        </w:r>
      </w:hyperlink>
    </w:p>
    <w:p w:rsidR="00F31102" w:rsidRPr="009C7566" w:rsidRDefault="00F31102" w:rsidP="00F31102">
      <w:pPr>
        <w:numPr>
          <w:ilvl w:val="0"/>
          <w:numId w:val="2"/>
        </w:numPr>
        <w:rPr>
          <w:b/>
        </w:rPr>
      </w:pPr>
      <w:r w:rsidRPr="009C7566">
        <w:rPr>
          <w:b/>
        </w:rPr>
        <w:t xml:space="preserve">ENGELS, Friedrich, </w:t>
      </w:r>
      <w:proofErr w:type="spellStart"/>
      <w:r w:rsidRPr="009C7566">
        <w:rPr>
          <w:b/>
          <w:i/>
        </w:rPr>
        <w:t>Socialism</w:t>
      </w:r>
      <w:proofErr w:type="spellEnd"/>
      <w:r w:rsidRPr="009C7566">
        <w:rPr>
          <w:b/>
          <w:i/>
        </w:rPr>
        <w:t xml:space="preserve">: </w:t>
      </w:r>
      <w:proofErr w:type="spellStart"/>
      <w:r w:rsidRPr="009C7566">
        <w:rPr>
          <w:b/>
          <w:i/>
        </w:rPr>
        <w:t>Utopian</w:t>
      </w:r>
      <w:proofErr w:type="spellEnd"/>
      <w:r w:rsidRPr="009C7566">
        <w:rPr>
          <w:b/>
          <w:i/>
        </w:rPr>
        <w:t xml:space="preserve"> </w:t>
      </w:r>
      <w:proofErr w:type="spellStart"/>
      <w:r w:rsidRPr="009C7566">
        <w:rPr>
          <w:b/>
          <w:i/>
        </w:rPr>
        <w:t>and</w:t>
      </w:r>
      <w:proofErr w:type="spellEnd"/>
      <w:r w:rsidRPr="009C7566">
        <w:rPr>
          <w:b/>
          <w:i/>
        </w:rPr>
        <w:t xml:space="preserve"> </w:t>
      </w:r>
      <w:proofErr w:type="spellStart"/>
      <w:r w:rsidRPr="009C7566">
        <w:rPr>
          <w:b/>
          <w:i/>
        </w:rPr>
        <w:t>Scientific</w:t>
      </w:r>
      <w:proofErr w:type="spellEnd"/>
      <w:r w:rsidRPr="009C7566">
        <w:rPr>
          <w:b/>
        </w:rPr>
        <w:t>, (</w:t>
      </w:r>
      <w:proofErr w:type="spellStart"/>
      <w:r w:rsidRPr="009C7566">
        <w:rPr>
          <w:b/>
        </w:rPr>
        <w:t>translated</w:t>
      </w:r>
      <w:proofErr w:type="spellEnd"/>
      <w:r w:rsidRPr="009C7566">
        <w:rPr>
          <w:b/>
        </w:rPr>
        <w:t xml:space="preserve"> </w:t>
      </w:r>
      <w:proofErr w:type="spellStart"/>
      <w:r w:rsidRPr="009C7566">
        <w:rPr>
          <w:b/>
        </w:rPr>
        <w:t>by</w:t>
      </w:r>
      <w:proofErr w:type="spellEnd"/>
      <w:r w:rsidRPr="009C7566">
        <w:rPr>
          <w:b/>
        </w:rPr>
        <w:t xml:space="preserve"> Edward </w:t>
      </w:r>
      <w:proofErr w:type="spellStart"/>
      <w:r w:rsidRPr="009C7566">
        <w:rPr>
          <w:b/>
        </w:rPr>
        <w:t>Aveling</w:t>
      </w:r>
      <w:proofErr w:type="spellEnd"/>
      <w:r w:rsidRPr="009C7566">
        <w:rPr>
          <w:b/>
        </w:rPr>
        <w:t xml:space="preserve">), </w:t>
      </w:r>
      <w:proofErr w:type="spellStart"/>
      <w:r w:rsidRPr="009C7566">
        <w:rPr>
          <w:b/>
        </w:rPr>
        <w:t>Newyork</w:t>
      </w:r>
      <w:proofErr w:type="spellEnd"/>
      <w:r w:rsidRPr="009C7566">
        <w:rPr>
          <w:b/>
        </w:rPr>
        <w:t xml:space="preserve">, </w:t>
      </w:r>
      <w:proofErr w:type="spellStart"/>
      <w:r w:rsidRPr="009C7566">
        <w:rPr>
          <w:b/>
        </w:rPr>
        <w:t>Cosimo</w:t>
      </w:r>
      <w:proofErr w:type="spellEnd"/>
      <w:r w:rsidRPr="009C7566">
        <w:rPr>
          <w:b/>
        </w:rPr>
        <w:t xml:space="preserve"> Publishing, 2008</w:t>
      </w:r>
    </w:p>
    <w:p w:rsidR="00F31102" w:rsidRPr="009C7566" w:rsidRDefault="00F31102" w:rsidP="00F31102">
      <w:pPr>
        <w:numPr>
          <w:ilvl w:val="0"/>
          <w:numId w:val="2"/>
        </w:numPr>
        <w:rPr>
          <w:b/>
        </w:rPr>
      </w:pPr>
      <w:r w:rsidRPr="009C7566">
        <w:rPr>
          <w:b/>
        </w:rPr>
        <w:t xml:space="preserve">FROMM, </w:t>
      </w:r>
      <w:proofErr w:type="spellStart"/>
      <w:r w:rsidRPr="009C7566">
        <w:rPr>
          <w:b/>
        </w:rPr>
        <w:t>Erich</w:t>
      </w:r>
      <w:proofErr w:type="spellEnd"/>
      <w:r w:rsidRPr="009C7566">
        <w:rPr>
          <w:b/>
        </w:rPr>
        <w:t>,</w:t>
      </w:r>
      <w:r w:rsidRPr="009C7566">
        <w:rPr>
          <w:b/>
          <w:i/>
        </w:rPr>
        <w:t xml:space="preserve"> </w:t>
      </w:r>
      <w:proofErr w:type="spellStart"/>
      <w:r w:rsidRPr="009C7566">
        <w:rPr>
          <w:b/>
          <w:i/>
        </w:rPr>
        <w:t>Marx’s</w:t>
      </w:r>
      <w:proofErr w:type="spellEnd"/>
      <w:r w:rsidRPr="009C7566">
        <w:rPr>
          <w:b/>
          <w:i/>
        </w:rPr>
        <w:t xml:space="preserve"> </w:t>
      </w:r>
      <w:proofErr w:type="spellStart"/>
      <w:r w:rsidRPr="009C7566">
        <w:rPr>
          <w:b/>
          <w:i/>
        </w:rPr>
        <w:t>Concept</w:t>
      </w:r>
      <w:proofErr w:type="spellEnd"/>
      <w:r w:rsidRPr="009C7566">
        <w:rPr>
          <w:b/>
          <w:i/>
        </w:rPr>
        <w:t xml:space="preserve"> of Man</w:t>
      </w:r>
      <w:r w:rsidRPr="009C7566">
        <w:rPr>
          <w:b/>
        </w:rPr>
        <w:t xml:space="preserve">, </w:t>
      </w:r>
      <w:proofErr w:type="spellStart"/>
      <w:r w:rsidRPr="009C7566">
        <w:rPr>
          <w:b/>
        </w:rPr>
        <w:t>Continium</w:t>
      </w:r>
      <w:proofErr w:type="spellEnd"/>
      <w:r w:rsidRPr="009C7566">
        <w:rPr>
          <w:b/>
        </w:rPr>
        <w:t>, 2004</w:t>
      </w:r>
    </w:p>
    <w:p w:rsidR="00F31102" w:rsidRPr="009C7566" w:rsidRDefault="00F31102" w:rsidP="00F31102">
      <w:pPr>
        <w:numPr>
          <w:ilvl w:val="0"/>
          <w:numId w:val="2"/>
        </w:numPr>
        <w:rPr>
          <w:b/>
        </w:rPr>
      </w:pPr>
      <w:r w:rsidRPr="009C7566">
        <w:rPr>
          <w:b/>
        </w:rPr>
        <w:t xml:space="preserve">HARIS, Peter Bernard, </w:t>
      </w:r>
      <w:proofErr w:type="spellStart"/>
      <w:r w:rsidRPr="009C7566">
        <w:rPr>
          <w:b/>
          <w:i/>
        </w:rPr>
        <w:t>Political</w:t>
      </w:r>
      <w:proofErr w:type="spellEnd"/>
      <w:r w:rsidRPr="009C7566">
        <w:rPr>
          <w:b/>
          <w:i/>
        </w:rPr>
        <w:t xml:space="preserve"> </w:t>
      </w:r>
      <w:proofErr w:type="spellStart"/>
      <w:r w:rsidRPr="009C7566">
        <w:rPr>
          <w:b/>
          <w:i/>
        </w:rPr>
        <w:t>China</w:t>
      </w:r>
      <w:proofErr w:type="spellEnd"/>
      <w:r w:rsidRPr="009C7566">
        <w:rPr>
          <w:b/>
          <w:i/>
        </w:rPr>
        <w:t xml:space="preserve"> </w:t>
      </w:r>
      <w:proofErr w:type="spellStart"/>
      <w:r w:rsidRPr="009C7566">
        <w:rPr>
          <w:b/>
          <w:i/>
        </w:rPr>
        <w:t>Observed</w:t>
      </w:r>
      <w:proofErr w:type="spellEnd"/>
      <w:r w:rsidRPr="009C7566">
        <w:rPr>
          <w:b/>
          <w:i/>
        </w:rPr>
        <w:t xml:space="preserve">: a Western </w:t>
      </w:r>
      <w:proofErr w:type="spellStart"/>
      <w:r w:rsidRPr="009C7566">
        <w:rPr>
          <w:b/>
          <w:i/>
        </w:rPr>
        <w:t>Perspective</w:t>
      </w:r>
      <w:proofErr w:type="spellEnd"/>
      <w:r w:rsidRPr="009C7566">
        <w:rPr>
          <w:b/>
        </w:rPr>
        <w:t xml:space="preserve">, </w:t>
      </w:r>
      <w:proofErr w:type="spellStart"/>
      <w:r w:rsidRPr="009C7566">
        <w:rPr>
          <w:b/>
        </w:rPr>
        <w:t>London</w:t>
      </w:r>
      <w:proofErr w:type="spellEnd"/>
      <w:r w:rsidRPr="009C7566">
        <w:rPr>
          <w:b/>
        </w:rPr>
        <w:t>, Taylor &amp; Francis, 1980</w:t>
      </w:r>
    </w:p>
    <w:p w:rsidR="00F31102" w:rsidRPr="009C7566" w:rsidRDefault="00F31102" w:rsidP="00F31102">
      <w:pPr>
        <w:numPr>
          <w:ilvl w:val="0"/>
          <w:numId w:val="2"/>
        </w:numPr>
        <w:rPr>
          <w:b/>
        </w:rPr>
      </w:pPr>
      <w:r w:rsidRPr="009C7566">
        <w:rPr>
          <w:b/>
        </w:rPr>
        <w:t>HIRST, Paul Q</w:t>
      </w:r>
      <w:proofErr w:type="gramStart"/>
      <w:r w:rsidRPr="009C7566">
        <w:rPr>
          <w:b/>
        </w:rPr>
        <w:t>.,</w:t>
      </w:r>
      <w:proofErr w:type="gramEnd"/>
      <w:r w:rsidRPr="009C7566">
        <w:rPr>
          <w:b/>
        </w:rPr>
        <w:t xml:space="preserve"> </w:t>
      </w:r>
      <w:proofErr w:type="spellStart"/>
      <w:r w:rsidRPr="009C7566">
        <w:rPr>
          <w:b/>
          <w:i/>
        </w:rPr>
        <w:t>Law</w:t>
      </w:r>
      <w:proofErr w:type="spellEnd"/>
      <w:r w:rsidRPr="009C7566">
        <w:rPr>
          <w:b/>
          <w:i/>
        </w:rPr>
        <w:t xml:space="preserve">, </w:t>
      </w:r>
      <w:proofErr w:type="spellStart"/>
      <w:r w:rsidRPr="009C7566">
        <w:rPr>
          <w:b/>
          <w:i/>
        </w:rPr>
        <w:t>Socialism</w:t>
      </w:r>
      <w:proofErr w:type="spellEnd"/>
      <w:r w:rsidRPr="009C7566">
        <w:rPr>
          <w:b/>
          <w:i/>
        </w:rPr>
        <w:t xml:space="preserve">, </w:t>
      </w:r>
      <w:proofErr w:type="spellStart"/>
      <w:r w:rsidRPr="009C7566">
        <w:rPr>
          <w:b/>
          <w:i/>
        </w:rPr>
        <w:t>and</w:t>
      </w:r>
      <w:proofErr w:type="spellEnd"/>
      <w:r w:rsidRPr="009C7566">
        <w:rPr>
          <w:b/>
          <w:i/>
        </w:rPr>
        <w:t xml:space="preserve"> </w:t>
      </w:r>
      <w:proofErr w:type="spellStart"/>
      <w:r w:rsidRPr="009C7566">
        <w:rPr>
          <w:b/>
          <w:i/>
        </w:rPr>
        <w:t>Democracy</w:t>
      </w:r>
      <w:proofErr w:type="spellEnd"/>
      <w:r w:rsidRPr="009C7566">
        <w:rPr>
          <w:b/>
        </w:rPr>
        <w:t xml:space="preserve">, </w:t>
      </w:r>
      <w:proofErr w:type="spellStart"/>
      <w:r w:rsidRPr="009C7566">
        <w:rPr>
          <w:b/>
        </w:rPr>
        <w:t>London</w:t>
      </w:r>
      <w:proofErr w:type="spellEnd"/>
      <w:r w:rsidRPr="009C7566">
        <w:rPr>
          <w:b/>
        </w:rPr>
        <w:t xml:space="preserve">, </w:t>
      </w:r>
      <w:proofErr w:type="spellStart"/>
      <w:r w:rsidRPr="009C7566">
        <w:rPr>
          <w:b/>
        </w:rPr>
        <w:t>Allen</w:t>
      </w:r>
      <w:proofErr w:type="spellEnd"/>
      <w:r w:rsidRPr="009C7566">
        <w:rPr>
          <w:b/>
        </w:rPr>
        <w:t xml:space="preserve"> &amp; </w:t>
      </w:r>
      <w:proofErr w:type="spellStart"/>
      <w:r w:rsidRPr="009C7566">
        <w:rPr>
          <w:b/>
        </w:rPr>
        <w:t>Unwin</w:t>
      </w:r>
      <w:proofErr w:type="spellEnd"/>
      <w:r w:rsidRPr="009C7566">
        <w:rPr>
          <w:b/>
        </w:rPr>
        <w:t>, 1986</w:t>
      </w:r>
    </w:p>
    <w:p w:rsidR="00F31102" w:rsidRPr="009C7566" w:rsidRDefault="00F31102" w:rsidP="00F31102">
      <w:pPr>
        <w:numPr>
          <w:ilvl w:val="0"/>
          <w:numId w:val="2"/>
        </w:numPr>
        <w:rPr>
          <w:b/>
        </w:rPr>
      </w:pPr>
      <w:r w:rsidRPr="009C7566">
        <w:rPr>
          <w:b/>
        </w:rPr>
        <w:t>HOBHOUSE, L. T</w:t>
      </w:r>
      <w:proofErr w:type="gramStart"/>
      <w:r w:rsidRPr="009C7566">
        <w:rPr>
          <w:b/>
        </w:rPr>
        <w:t>.,</w:t>
      </w:r>
      <w:proofErr w:type="gramEnd"/>
      <w:r w:rsidRPr="009C7566">
        <w:rPr>
          <w:b/>
        </w:rPr>
        <w:t xml:space="preserve"> </w:t>
      </w:r>
      <w:proofErr w:type="spellStart"/>
      <w:r w:rsidRPr="009C7566">
        <w:rPr>
          <w:b/>
          <w:i/>
        </w:rPr>
        <w:t>Liberalism</w:t>
      </w:r>
      <w:proofErr w:type="spellEnd"/>
      <w:r w:rsidRPr="009C7566">
        <w:rPr>
          <w:b/>
        </w:rPr>
        <w:t xml:space="preserve">, </w:t>
      </w:r>
      <w:proofErr w:type="spellStart"/>
      <w:r w:rsidRPr="009C7566">
        <w:rPr>
          <w:b/>
        </w:rPr>
        <w:t>Middlesex</w:t>
      </w:r>
      <w:proofErr w:type="spellEnd"/>
      <w:r w:rsidRPr="009C7566">
        <w:rPr>
          <w:b/>
        </w:rPr>
        <w:t xml:space="preserve">, </w:t>
      </w:r>
      <w:proofErr w:type="spellStart"/>
      <w:r w:rsidRPr="009C7566">
        <w:rPr>
          <w:b/>
        </w:rPr>
        <w:t>The</w:t>
      </w:r>
      <w:proofErr w:type="spellEnd"/>
      <w:r w:rsidRPr="009C7566">
        <w:rPr>
          <w:b/>
        </w:rPr>
        <w:t xml:space="preserve"> </w:t>
      </w:r>
      <w:proofErr w:type="spellStart"/>
      <w:r w:rsidRPr="009C7566">
        <w:rPr>
          <w:b/>
        </w:rPr>
        <w:t>Eco</w:t>
      </w:r>
      <w:proofErr w:type="spellEnd"/>
      <w:r w:rsidRPr="009C7566">
        <w:rPr>
          <w:b/>
        </w:rPr>
        <w:t xml:space="preserve"> Library, 2009</w:t>
      </w:r>
    </w:p>
    <w:p w:rsidR="00F31102" w:rsidRPr="009C7566" w:rsidRDefault="00F31102" w:rsidP="00F31102">
      <w:pPr>
        <w:numPr>
          <w:ilvl w:val="0"/>
          <w:numId w:val="2"/>
        </w:numPr>
        <w:rPr>
          <w:b/>
        </w:rPr>
      </w:pPr>
      <w:r w:rsidRPr="009C7566">
        <w:rPr>
          <w:b/>
        </w:rPr>
        <w:t>KABOĞLU, İbrahim Ö</w:t>
      </w:r>
      <w:proofErr w:type="gramStart"/>
      <w:r w:rsidRPr="009C7566">
        <w:rPr>
          <w:b/>
        </w:rPr>
        <w:t>.,</w:t>
      </w:r>
      <w:proofErr w:type="gramEnd"/>
      <w:r w:rsidRPr="009C7566">
        <w:rPr>
          <w:b/>
        </w:rPr>
        <w:t xml:space="preserve"> </w:t>
      </w:r>
      <w:r w:rsidRPr="009C7566">
        <w:rPr>
          <w:b/>
          <w:i/>
        </w:rPr>
        <w:t>Anayasa Hukuku Dersleri (Genel Esaslar)</w:t>
      </w:r>
      <w:r w:rsidRPr="009C7566">
        <w:rPr>
          <w:b/>
        </w:rPr>
        <w:t>, İstanbul, Legal Kitabevi, 2010</w:t>
      </w:r>
    </w:p>
    <w:p w:rsidR="00F31102" w:rsidRPr="009C7566" w:rsidRDefault="00F31102" w:rsidP="00F31102">
      <w:pPr>
        <w:numPr>
          <w:ilvl w:val="0"/>
          <w:numId w:val="2"/>
        </w:numPr>
        <w:rPr>
          <w:b/>
        </w:rPr>
      </w:pPr>
      <w:r w:rsidRPr="009C7566">
        <w:rPr>
          <w:b/>
        </w:rPr>
        <w:t xml:space="preserve">KAHRAMAN, Suna Güzin, “Radikal Demokrasi ve Vatandaşlık: Liberal ve </w:t>
      </w:r>
      <w:proofErr w:type="spellStart"/>
      <w:r w:rsidRPr="009C7566">
        <w:rPr>
          <w:b/>
        </w:rPr>
        <w:t>Komunitaryan</w:t>
      </w:r>
      <w:proofErr w:type="spellEnd"/>
      <w:r w:rsidRPr="009C7566">
        <w:rPr>
          <w:b/>
        </w:rPr>
        <w:t xml:space="preserve"> Yaklaşımlarla Bir Karşılaştırma”, Yüksek Lisans Tezi, (Ankara Üniversitesi Sosyal Bilimler Enstitüsü Kamu Yönetimi ve Siyaset Bilimi Anabilim Dalı), Ankara, 2004, Ankara </w:t>
      </w:r>
      <w:r w:rsidRPr="009C7566">
        <w:rPr>
          <w:b/>
        </w:rPr>
        <w:lastRenderedPageBreak/>
        <w:t xml:space="preserve">Üniversitesi Açık Erişim Sistemi Web Sitesi, </w:t>
      </w:r>
      <w:r w:rsidRPr="009C7566">
        <w:rPr>
          <w:b/>
          <w:color w:val="000000"/>
          <w:u w:val="single"/>
          <w:shd w:val="clear" w:color="auto" w:fill="FFFFFF"/>
        </w:rPr>
        <w:t>acikarsiv.ankara.edu.tr/</w:t>
      </w:r>
      <w:proofErr w:type="spellStart"/>
      <w:r w:rsidRPr="009C7566">
        <w:rPr>
          <w:b/>
          <w:color w:val="000000"/>
          <w:u w:val="single"/>
          <w:shd w:val="clear" w:color="auto" w:fill="FFFFFF"/>
        </w:rPr>
        <w:t>browse</w:t>
      </w:r>
      <w:proofErr w:type="spellEnd"/>
      <w:r w:rsidRPr="009C7566">
        <w:rPr>
          <w:b/>
          <w:color w:val="000000"/>
          <w:u w:val="single"/>
          <w:shd w:val="clear" w:color="auto" w:fill="FFFFFF"/>
        </w:rPr>
        <w:t>/246/537.pdf</w:t>
      </w:r>
    </w:p>
    <w:p w:rsidR="00F31102" w:rsidRPr="009C7566" w:rsidRDefault="00F31102" w:rsidP="00F31102">
      <w:pPr>
        <w:numPr>
          <w:ilvl w:val="0"/>
          <w:numId w:val="2"/>
        </w:numPr>
        <w:rPr>
          <w:b/>
        </w:rPr>
      </w:pPr>
      <w:r w:rsidRPr="009C7566">
        <w:rPr>
          <w:b/>
        </w:rPr>
        <w:t>KILIÇ, Yeşim Tükel, “</w:t>
      </w:r>
      <w:proofErr w:type="spellStart"/>
      <w:r w:rsidRPr="009C7566">
        <w:rPr>
          <w:b/>
        </w:rPr>
        <w:t>Nationalismus</w:t>
      </w:r>
      <w:proofErr w:type="spellEnd"/>
      <w:r w:rsidRPr="009C7566">
        <w:rPr>
          <w:b/>
        </w:rPr>
        <w:t xml:space="preserve">: Ulusçuluk mu Milliyetçilik mi? Kavramın Çevirisi Üzerinden Türkiye’de Ulusçuluk Söylemlerine Genel Bir Bakış”, </w:t>
      </w:r>
      <w:r w:rsidRPr="009C7566">
        <w:rPr>
          <w:b/>
          <w:i/>
        </w:rPr>
        <w:t>Alman Dili ve Edebiyatı Dergisi</w:t>
      </w:r>
      <w:r w:rsidRPr="009C7566">
        <w:rPr>
          <w:b/>
        </w:rPr>
        <w:t>, Cilt 2, Sayı 22, 2009</w:t>
      </w:r>
    </w:p>
    <w:p w:rsidR="00F31102" w:rsidRPr="009C7566" w:rsidRDefault="00F31102" w:rsidP="00F31102">
      <w:pPr>
        <w:numPr>
          <w:ilvl w:val="0"/>
          <w:numId w:val="2"/>
        </w:numPr>
        <w:rPr>
          <w:b/>
        </w:rPr>
      </w:pPr>
      <w:r w:rsidRPr="009C7566">
        <w:rPr>
          <w:b/>
        </w:rPr>
        <w:t xml:space="preserve">LEVINSON, </w:t>
      </w:r>
      <w:proofErr w:type="spellStart"/>
      <w:r w:rsidRPr="009C7566">
        <w:rPr>
          <w:b/>
        </w:rPr>
        <w:t>Sanford</w:t>
      </w:r>
      <w:proofErr w:type="spellEnd"/>
      <w:r w:rsidRPr="009C7566">
        <w:rPr>
          <w:b/>
        </w:rPr>
        <w:t xml:space="preserve">, </w:t>
      </w:r>
      <w:r w:rsidRPr="009C7566">
        <w:rPr>
          <w:b/>
          <w:i/>
        </w:rPr>
        <w:t xml:space="preserve">Constitutional </w:t>
      </w:r>
      <w:proofErr w:type="spellStart"/>
      <w:r w:rsidRPr="009C7566">
        <w:rPr>
          <w:b/>
          <w:i/>
        </w:rPr>
        <w:t>Faith</w:t>
      </w:r>
      <w:proofErr w:type="spellEnd"/>
      <w:r w:rsidRPr="009C7566">
        <w:rPr>
          <w:b/>
        </w:rPr>
        <w:t xml:space="preserve">, Princeton </w:t>
      </w:r>
      <w:proofErr w:type="spellStart"/>
      <w:r w:rsidRPr="009C7566">
        <w:rPr>
          <w:b/>
        </w:rPr>
        <w:t>University</w:t>
      </w:r>
      <w:proofErr w:type="spellEnd"/>
      <w:r w:rsidRPr="009C7566">
        <w:rPr>
          <w:b/>
        </w:rPr>
        <w:t xml:space="preserve"> </w:t>
      </w:r>
      <w:proofErr w:type="spellStart"/>
      <w:r w:rsidRPr="009C7566">
        <w:rPr>
          <w:b/>
        </w:rPr>
        <w:t>Press</w:t>
      </w:r>
      <w:proofErr w:type="spellEnd"/>
      <w:r w:rsidRPr="009C7566">
        <w:rPr>
          <w:b/>
        </w:rPr>
        <w:t>, 2011</w:t>
      </w:r>
    </w:p>
    <w:p w:rsidR="00822402" w:rsidRPr="009C7566" w:rsidRDefault="00822402" w:rsidP="00F31102">
      <w:pPr>
        <w:numPr>
          <w:ilvl w:val="0"/>
          <w:numId w:val="2"/>
        </w:numPr>
        <w:rPr>
          <w:b/>
        </w:rPr>
      </w:pPr>
      <w:r w:rsidRPr="009C7566">
        <w:rPr>
          <w:b/>
        </w:rPr>
        <w:t xml:space="preserve">LE CITE OFFICIEL </w:t>
      </w:r>
      <w:proofErr w:type="spellStart"/>
      <w:r w:rsidRPr="009C7566">
        <w:rPr>
          <w:b/>
        </w:rPr>
        <w:t>d’Assemblée</w:t>
      </w:r>
      <w:proofErr w:type="spellEnd"/>
      <w:r w:rsidRPr="009C7566">
        <w:rPr>
          <w:b/>
        </w:rPr>
        <w:t xml:space="preserve"> </w:t>
      </w:r>
      <w:proofErr w:type="spellStart"/>
      <w:r w:rsidRPr="009C7566">
        <w:rPr>
          <w:b/>
        </w:rPr>
        <w:t>Nationale</w:t>
      </w:r>
      <w:proofErr w:type="spellEnd"/>
      <w:r w:rsidRPr="009C7566">
        <w:rPr>
          <w:b/>
        </w:rPr>
        <w:t xml:space="preserve">, </w:t>
      </w:r>
      <w:proofErr w:type="spellStart"/>
      <w:r w:rsidRPr="009C7566">
        <w:rPr>
          <w:b/>
        </w:rPr>
        <w:t>Constitution</w:t>
      </w:r>
      <w:proofErr w:type="spellEnd"/>
      <w:r w:rsidRPr="009C7566">
        <w:rPr>
          <w:b/>
        </w:rPr>
        <w:t xml:space="preserve"> de </w:t>
      </w:r>
      <w:smartTag w:uri="urn:schemas-microsoft-com:office:smarttags" w:element="PersonName">
        <w:smartTagPr>
          <w:attr w:name="ProductID" w:val="la République"/>
        </w:smartTagPr>
        <w:r w:rsidRPr="009C7566">
          <w:rPr>
            <w:b/>
          </w:rPr>
          <w:t xml:space="preserve">la </w:t>
        </w:r>
        <w:proofErr w:type="spellStart"/>
        <w:r w:rsidRPr="009C7566">
          <w:rPr>
            <w:b/>
          </w:rPr>
          <w:t>République</w:t>
        </w:r>
      </w:smartTag>
      <w:proofErr w:type="spellEnd"/>
      <w:r w:rsidRPr="009C7566">
        <w:rPr>
          <w:b/>
        </w:rPr>
        <w:t xml:space="preserve"> </w:t>
      </w:r>
      <w:proofErr w:type="spellStart"/>
      <w:r w:rsidRPr="009C7566">
        <w:rPr>
          <w:b/>
        </w:rPr>
        <w:t>française</w:t>
      </w:r>
      <w:proofErr w:type="spellEnd"/>
      <w:r w:rsidRPr="009C7566">
        <w:rPr>
          <w:b/>
        </w:rPr>
        <w:t xml:space="preserve">, </w:t>
      </w:r>
      <w:hyperlink r:id="rId10" w:history="1">
        <w:r w:rsidRPr="009C7566">
          <w:rPr>
            <w:rStyle w:val="Hyperlink"/>
            <w:b/>
          </w:rPr>
          <w:t>http://www.assemblee-nationale.fr/connaissance/constitution.asp</w:t>
        </w:r>
      </w:hyperlink>
    </w:p>
    <w:p w:rsidR="00F31102" w:rsidRPr="009C7566" w:rsidRDefault="00F31102" w:rsidP="00F31102">
      <w:pPr>
        <w:numPr>
          <w:ilvl w:val="0"/>
          <w:numId w:val="2"/>
        </w:numPr>
        <w:rPr>
          <w:b/>
        </w:rPr>
      </w:pPr>
      <w:r w:rsidRPr="009C7566">
        <w:rPr>
          <w:b/>
        </w:rPr>
        <w:t xml:space="preserve">LIANG, Bin, </w:t>
      </w:r>
      <w:proofErr w:type="spellStart"/>
      <w:r w:rsidRPr="009C7566">
        <w:rPr>
          <w:b/>
          <w:i/>
        </w:rPr>
        <w:t>The</w:t>
      </w:r>
      <w:proofErr w:type="spellEnd"/>
      <w:r w:rsidRPr="009C7566">
        <w:rPr>
          <w:b/>
          <w:i/>
        </w:rPr>
        <w:t xml:space="preserve"> </w:t>
      </w:r>
      <w:proofErr w:type="spellStart"/>
      <w:r w:rsidRPr="009C7566">
        <w:rPr>
          <w:b/>
          <w:i/>
        </w:rPr>
        <w:t>Changing</w:t>
      </w:r>
      <w:proofErr w:type="spellEnd"/>
      <w:r w:rsidRPr="009C7566">
        <w:rPr>
          <w:b/>
          <w:i/>
        </w:rPr>
        <w:t xml:space="preserve"> </w:t>
      </w:r>
      <w:proofErr w:type="spellStart"/>
      <w:r w:rsidRPr="009C7566">
        <w:rPr>
          <w:b/>
          <w:i/>
        </w:rPr>
        <w:t>Chinese</w:t>
      </w:r>
      <w:proofErr w:type="spellEnd"/>
      <w:r w:rsidRPr="009C7566">
        <w:rPr>
          <w:b/>
          <w:i/>
        </w:rPr>
        <w:t xml:space="preserve"> Legal </w:t>
      </w:r>
      <w:proofErr w:type="spellStart"/>
      <w:r w:rsidRPr="009C7566">
        <w:rPr>
          <w:b/>
          <w:i/>
        </w:rPr>
        <w:t>System</w:t>
      </w:r>
      <w:proofErr w:type="spellEnd"/>
      <w:r w:rsidRPr="009C7566">
        <w:rPr>
          <w:b/>
          <w:i/>
        </w:rPr>
        <w:t xml:space="preserve"> 1978-Present: </w:t>
      </w:r>
      <w:proofErr w:type="spellStart"/>
      <w:r w:rsidRPr="009C7566">
        <w:rPr>
          <w:b/>
          <w:i/>
        </w:rPr>
        <w:t>Centralization</w:t>
      </w:r>
      <w:proofErr w:type="spellEnd"/>
      <w:r w:rsidRPr="009C7566">
        <w:rPr>
          <w:b/>
          <w:i/>
        </w:rPr>
        <w:t xml:space="preserve"> of </w:t>
      </w:r>
      <w:proofErr w:type="spellStart"/>
      <w:r w:rsidRPr="009C7566">
        <w:rPr>
          <w:b/>
          <w:i/>
        </w:rPr>
        <w:t>Power</w:t>
      </w:r>
      <w:proofErr w:type="spellEnd"/>
      <w:r w:rsidRPr="009C7566">
        <w:rPr>
          <w:b/>
          <w:i/>
        </w:rPr>
        <w:t xml:space="preserve"> </w:t>
      </w:r>
      <w:proofErr w:type="spellStart"/>
      <w:r w:rsidRPr="009C7566">
        <w:rPr>
          <w:b/>
          <w:i/>
        </w:rPr>
        <w:t>and</w:t>
      </w:r>
      <w:proofErr w:type="spellEnd"/>
      <w:r w:rsidRPr="009C7566">
        <w:rPr>
          <w:b/>
          <w:i/>
        </w:rPr>
        <w:t xml:space="preserve"> </w:t>
      </w:r>
      <w:proofErr w:type="spellStart"/>
      <w:r w:rsidRPr="009C7566">
        <w:rPr>
          <w:b/>
          <w:i/>
        </w:rPr>
        <w:t>Rationalization</w:t>
      </w:r>
      <w:proofErr w:type="spellEnd"/>
      <w:r w:rsidRPr="009C7566">
        <w:rPr>
          <w:b/>
          <w:i/>
        </w:rPr>
        <w:t xml:space="preserve"> of </w:t>
      </w:r>
      <w:proofErr w:type="spellStart"/>
      <w:r w:rsidRPr="009C7566">
        <w:rPr>
          <w:b/>
          <w:i/>
        </w:rPr>
        <w:t>the</w:t>
      </w:r>
      <w:proofErr w:type="spellEnd"/>
      <w:r w:rsidRPr="009C7566">
        <w:rPr>
          <w:b/>
          <w:i/>
        </w:rPr>
        <w:t xml:space="preserve"> Legal </w:t>
      </w:r>
      <w:proofErr w:type="spellStart"/>
      <w:r w:rsidRPr="009C7566">
        <w:rPr>
          <w:b/>
          <w:i/>
        </w:rPr>
        <w:t>System</w:t>
      </w:r>
      <w:proofErr w:type="spellEnd"/>
      <w:r w:rsidRPr="009C7566">
        <w:rPr>
          <w:b/>
        </w:rPr>
        <w:t xml:space="preserve">, New York, </w:t>
      </w:r>
      <w:proofErr w:type="spellStart"/>
      <w:r w:rsidRPr="009C7566">
        <w:rPr>
          <w:b/>
        </w:rPr>
        <w:t>Routledge</w:t>
      </w:r>
      <w:proofErr w:type="spellEnd"/>
      <w:r w:rsidRPr="009C7566">
        <w:rPr>
          <w:b/>
        </w:rPr>
        <w:t xml:space="preserve"> Taylor&amp;Francis, 2008</w:t>
      </w:r>
    </w:p>
    <w:p w:rsidR="00F31102" w:rsidRPr="009C7566" w:rsidRDefault="00F31102" w:rsidP="00F31102">
      <w:pPr>
        <w:numPr>
          <w:ilvl w:val="0"/>
          <w:numId w:val="2"/>
        </w:numPr>
        <w:rPr>
          <w:b/>
        </w:rPr>
      </w:pPr>
      <w:r w:rsidRPr="009C7566">
        <w:rPr>
          <w:b/>
        </w:rPr>
        <w:t xml:space="preserve">MARX, Karl, </w:t>
      </w:r>
      <w:proofErr w:type="spellStart"/>
      <w:r w:rsidRPr="009C7566">
        <w:rPr>
          <w:b/>
          <w:i/>
        </w:rPr>
        <w:t>Selected</w:t>
      </w:r>
      <w:proofErr w:type="spellEnd"/>
      <w:r w:rsidRPr="009C7566">
        <w:rPr>
          <w:b/>
          <w:i/>
        </w:rPr>
        <w:t xml:space="preserve"> </w:t>
      </w:r>
      <w:proofErr w:type="spellStart"/>
      <w:r w:rsidRPr="009C7566">
        <w:rPr>
          <w:b/>
          <w:i/>
        </w:rPr>
        <w:t>Essays</w:t>
      </w:r>
      <w:proofErr w:type="spellEnd"/>
      <w:r w:rsidRPr="009C7566">
        <w:rPr>
          <w:b/>
        </w:rPr>
        <w:t>, (</w:t>
      </w:r>
      <w:proofErr w:type="spellStart"/>
      <w:r w:rsidRPr="009C7566">
        <w:rPr>
          <w:b/>
        </w:rPr>
        <w:t>translated</w:t>
      </w:r>
      <w:proofErr w:type="spellEnd"/>
      <w:r w:rsidRPr="009C7566">
        <w:rPr>
          <w:b/>
        </w:rPr>
        <w:t xml:space="preserve"> </w:t>
      </w:r>
      <w:proofErr w:type="spellStart"/>
      <w:r w:rsidRPr="009C7566">
        <w:rPr>
          <w:b/>
        </w:rPr>
        <w:t>by</w:t>
      </w:r>
      <w:proofErr w:type="spellEnd"/>
      <w:r w:rsidRPr="009C7566">
        <w:rPr>
          <w:b/>
        </w:rPr>
        <w:t xml:space="preserve"> H. J. </w:t>
      </w:r>
      <w:proofErr w:type="spellStart"/>
      <w:r w:rsidRPr="009C7566">
        <w:rPr>
          <w:b/>
        </w:rPr>
        <w:t>Stenning</w:t>
      </w:r>
      <w:proofErr w:type="spellEnd"/>
      <w:r w:rsidRPr="009C7566">
        <w:rPr>
          <w:b/>
        </w:rPr>
        <w:t xml:space="preserve">), </w:t>
      </w:r>
      <w:proofErr w:type="spellStart"/>
      <w:r w:rsidRPr="009C7566">
        <w:rPr>
          <w:b/>
        </w:rPr>
        <w:t>Serenity</w:t>
      </w:r>
      <w:proofErr w:type="spellEnd"/>
      <w:r w:rsidRPr="009C7566">
        <w:rPr>
          <w:b/>
        </w:rPr>
        <w:t xml:space="preserve"> </w:t>
      </w:r>
      <w:proofErr w:type="spellStart"/>
      <w:r w:rsidRPr="009C7566">
        <w:rPr>
          <w:b/>
        </w:rPr>
        <w:t>Publishers</w:t>
      </w:r>
      <w:proofErr w:type="spellEnd"/>
      <w:r w:rsidRPr="009C7566">
        <w:rPr>
          <w:b/>
        </w:rPr>
        <w:t>, 2008</w:t>
      </w:r>
    </w:p>
    <w:p w:rsidR="00F31102" w:rsidRPr="009C7566" w:rsidRDefault="00F31102" w:rsidP="00F31102">
      <w:pPr>
        <w:numPr>
          <w:ilvl w:val="0"/>
          <w:numId w:val="2"/>
        </w:numPr>
        <w:rPr>
          <w:b/>
        </w:rPr>
      </w:pPr>
      <w:r w:rsidRPr="009C7566">
        <w:rPr>
          <w:b/>
        </w:rPr>
        <w:t xml:space="preserve">MISES, Ludwig </w:t>
      </w:r>
      <w:proofErr w:type="spellStart"/>
      <w:r w:rsidRPr="009C7566">
        <w:rPr>
          <w:b/>
        </w:rPr>
        <w:t>von</w:t>
      </w:r>
      <w:proofErr w:type="spellEnd"/>
      <w:r w:rsidRPr="009C7566">
        <w:rPr>
          <w:b/>
        </w:rPr>
        <w:t xml:space="preserve">, </w:t>
      </w:r>
      <w:proofErr w:type="spellStart"/>
      <w:r w:rsidRPr="009C7566">
        <w:rPr>
          <w:b/>
          <w:i/>
        </w:rPr>
        <w:t>Liberalism</w:t>
      </w:r>
      <w:proofErr w:type="spellEnd"/>
      <w:r w:rsidRPr="009C7566">
        <w:rPr>
          <w:b/>
        </w:rPr>
        <w:t>, (</w:t>
      </w:r>
      <w:proofErr w:type="spellStart"/>
      <w:r w:rsidRPr="009C7566">
        <w:rPr>
          <w:b/>
        </w:rPr>
        <w:t>translated</w:t>
      </w:r>
      <w:proofErr w:type="spellEnd"/>
      <w:r w:rsidRPr="009C7566">
        <w:rPr>
          <w:b/>
        </w:rPr>
        <w:t xml:space="preserve"> </w:t>
      </w:r>
      <w:proofErr w:type="spellStart"/>
      <w:r w:rsidRPr="009C7566">
        <w:rPr>
          <w:b/>
        </w:rPr>
        <w:t>by</w:t>
      </w:r>
      <w:proofErr w:type="spellEnd"/>
      <w:r w:rsidRPr="009C7566">
        <w:rPr>
          <w:b/>
        </w:rPr>
        <w:t xml:space="preserve"> </w:t>
      </w:r>
      <w:proofErr w:type="spellStart"/>
      <w:r w:rsidRPr="009C7566">
        <w:rPr>
          <w:b/>
        </w:rPr>
        <w:t>Ralph</w:t>
      </w:r>
      <w:proofErr w:type="spellEnd"/>
      <w:r w:rsidRPr="009C7566">
        <w:rPr>
          <w:b/>
        </w:rPr>
        <w:t xml:space="preserve"> </w:t>
      </w:r>
      <w:proofErr w:type="spellStart"/>
      <w:r w:rsidRPr="009C7566">
        <w:rPr>
          <w:b/>
        </w:rPr>
        <w:t>Raico</w:t>
      </w:r>
      <w:proofErr w:type="spellEnd"/>
      <w:r w:rsidRPr="009C7566">
        <w:rPr>
          <w:b/>
        </w:rPr>
        <w:t xml:space="preserve">), California, </w:t>
      </w:r>
      <w:proofErr w:type="spellStart"/>
      <w:r w:rsidRPr="009C7566">
        <w:rPr>
          <w:b/>
        </w:rPr>
        <w:t>Cobden</w:t>
      </w:r>
      <w:proofErr w:type="spellEnd"/>
      <w:r w:rsidRPr="009C7566">
        <w:rPr>
          <w:b/>
        </w:rPr>
        <w:t xml:space="preserve"> </w:t>
      </w:r>
      <w:proofErr w:type="spellStart"/>
      <w:r w:rsidRPr="009C7566">
        <w:rPr>
          <w:b/>
        </w:rPr>
        <w:t>Press</w:t>
      </w:r>
      <w:proofErr w:type="spellEnd"/>
      <w:r w:rsidRPr="009C7566">
        <w:rPr>
          <w:b/>
        </w:rPr>
        <w:t>, 2002</w:t>
      </w:r>
    </w:p>
    <w:p w:rsidR="00F31102" w:rsidRPr="009C7566" w:rsidRDefault="00F31102" w:rsidP="00F31102">
      <w:pPr>
        <w:numPr>
          <w:ilvl w:val="0"/>
          <w:numId w:val="2"/>
        </w:numPr>
        <w:rPr>
          <w:b/>
        </w:rPr>
      </w:pPr>
      <w:r w:rsidRPr="009C7566">
        <w:rPr>
          <w:b/>
        </w:rPr>
        <w:t xml:space="preserve">MULLER, </w:t>
      </w:r>
      <w:proofErr w:type="spellStart"/>
      <w:r w:rsidRPr="009C7566">
        <w:rPr>
          <w:b/>
        </w:rPr>
        <w:t>Jerry</w:t>
      </w:r>
      <w:proofErr w:type="spellEnd"/>
      <w:r w:rsidRPr="009C7566">
        <w:rPr>
          <w:b/>
        </w:rPr>
        <w:t xml:space="preserve"> Z. (ed.), </w:t>
      </w:r>
      <w:proofErr w:type="spellStart"/>
      <w:r w:rsidRPr="009C7566">
        <w:rPr>
          <w:b/>
          <w:i/>
        </w:rPr>
        <w:t>Conservatism</w:t>
      </w:r>
      <w:proofErr w:type="spellEnd"/>
      <w:r w:rsidRPr="009C7566">
        <w:rPr>
          <w:b/>
          <w:i/>
        </w:rPr>
        <w:t xml:space="preserve">: An </w:t>
      </w:r>
      <w:proofErr w:type="spellStart"/>
      <w:r w:rsidRPr="009C7566">
        <w:rPr>
          <w:b/>
          <w:i/>
        </w:rPr>
        <w:t>Anthology</w:t>
      </w:r>
      <w:proofErr w:type="spellEnd"/>
      <w:r w:rsidRPr="009C7566">
        <w:rPr>
          <w:b/>
          <w:i/>
        </w:rPr>
        <w:t xml:space="preserve"> of </w:t>
      </w:r>
      <w:proofErr w:type="spellStart"/>
      <w:r w:rsidRPr="009C7566">
        <w:rPr>
          <w:b/>
          <w:i/>
        </w:rPr>
        <w:t>Social</w:t>
      </w:r>
      <w:proofErr w:type="spellEnd"/>
      <w:r w:rsidRPr="009C7566">
        <w:rPr>
          <w:b/>
          <w:i/>
        </w:rPr>
        <w:t xml:space="preserve"> </w:t>
      </w:r>
      <w:proofErr w:type="spellStart"/>
      <w:r w:rsidRPr="009C7566">
        <w:rPr>
          <w:b/>
          <w:i/>
        </w:rPr>
        <w:t>and</w:t>
      </w:r>
      <w:proofErr w:type="spellEnd"/>
      <w:r w:rsidRPr="009C7566">
        <w:rPr>
          <w:b/>
          <w:i/>
        </w:rPr>
        <w:t xml:space="preserve"> </w:t>
      </w:r>
      <w:proofErr w:type="spellStart"/>
      <w:r w:rsidRPr="009C7566">
        <w:rPr>
          <w:b/>
          <w:i/>
        </w:rPr>
        <w:t>Political</w:t>
      </w:r>
      <w:proofErr w:type="spellEnd"/>
      <w:r w:rsidRPr="009C7566">
        <w:rPr>
          <w:b/>
          <w:i/>
        </w:rPr>
        <w:t xml:space="preserve"> </w:t>
      </w:r>
      <w:proofErr w:type="spellStart"/>
      <w:r w:rsidRPr="009C7566">
        <w:rPr>
          <w:b/>
          <w:i/>
        </w:rPr>
        <w:t>Thought</w:t>
      </w:r>
      <w:proofErr w:type="spellEnd"/>
      <w:r w:rsidRPr="009C7566">
        <w:rPr>
          <w:b/>
          <w:i/>
        </w:rPr>
        <w:t xml:space="preserve"> </w:t>
      </w:r>
      <w:proofErr w:type="spellStart"/>
      <w:r w:rsidRPr="009C7566">
        <w:rPr>
          <w:b/>
          <w:i/>
        </w:rPr>
        <w:t>From</w:t>
      </w:r>
      <w:proofErr w:type="spellEnd"/>
      <w:r w:rsidRPr="009C7566">
        <w:rPr>
          <w:b/>
          <w:i/>
        </w:rPr>
        <w:t xml:space="preserve"> David </w:t>
      </w:r>
      <w:proofErr w:type="spellStart"/>
      <w:r w:rsidRPr="009C7566">
        <w:rPr>
          <w:b/>
          <w:i/>
        </w:rPr>
        <w:t>Hume</w:t>
      </w:r>
      <w:proofErr w:type="spellEnd"/>
      <w:r w:rsidRPr="009C7566">
        <w:rPr>
          <w:b/>
          <w:i/>
        </w:rPr>
        <w:t xml:space="preserve"> </w:t>
      </w:r>
      <w:proofErr w:type="spellStart"/>
      <w:r w:rsidRPr="009C7566">
        <w:rPr>
          <w:b/>
          <w:i/>
        </w:rPr>
        <w:t>to</w:t>
      </w:r>
      <w:proofErr w:type="spellEnd"/>
      <w:r w:rsidRPr="009C7566">
        <w:rPr>
          <w:b/>
          <w:i/>
        </w:rPr>
        <w:t xml:space="preserve"> </w:t>
      </w:r>
      <w:proofErr w:type="spellStart"/>
      <w:r w:rsidRPr="009C7566">
        <w:rPr>
          <w:b/>
          <w:i/>
        </w:rPr>
        <w:t>The</w:t>
      </w:r>
      <w:proofErr w:type="spellEnd"/>
      <w:r w:rsidRPr="009C7566">
        <w:rPr>
          <w:b/>
          <w:i/>
        </w:rPr>
        <w:t xml:space="preserve"> </w:t>
      </w:r>
      <w:proofErr w:type="spellStart"/>
      <w:r w:rsidRPr="009C7566">
        <w:rPr>
          <w:b/>
          <w:i/>
        </w:rPr>
        <w:t>Present</w:t>
      </w:r>
      <w:proofErr w:type="spellEnd"/>
      <w:r w:rsidRPr="009C7566">
        <w:rPr>
          <w:b/>
        </w:rPr>
        <w:t xml:space="preserve">, New Jersey, Princeton </w:t>
      </w:r>
      <w:proofErr w:type="spellStart"/>
      <w:r w:rsidRPr="009C7566">
        <w:rPr>
          <w:b/>
        </w:rPr>
        <w:t>University</w:t>
      </w:r>
      <w:proofErr w:type="spellEnd"/>
      <w:r w:rsidRPr="009C7566">
        <w:rPr>
          <w:b/>
        </w:rPr>
        <w:t xml:space="preserve"> </w:t>
      </w:r>
      <w:proofErr w:type="spellStart"/>
      <w:r w:rsidRPr="009C7566">
        <w:rPr>
          <w:b/>
        </w:rPr>
        <w:t>Press</w:t>
      </w:r>
      <w:proofErr w:type="spellEnd"/>
      <w:r w:rsidRPr="009C7566">
        <w:rPr>
          <w:b/>
        </w:rPr>
        <w:t>, 1997</w:t>
      </w:r>
    </w:p>
    <w:p w:rsidR="00F31102" w:rsidRPr="009C7566" w:rsidRDefault="00F31102" w:rsidP="00F31102">
      <w:pPr>
        <w:numPr>
          <w:ilvl w:val="0"/>
          <w:numId w:val="2"/>
        </w:numPr>
        <w:rPr>
          <w:b/>
        </w:rPr>
      </w:pPr>
      <w:r w:rsidRPr="009C7566">
        <w:rPr>
          <w:b/>
        </w:rPr>
        <w:t xml:space="preserve">NISBET, Robert, </w:t>
      </w:r>
      <w:proofErr w:type="spellStart"/>
      <w:r w:rsidRPr="009C7566">
        <w:rPr>
          <w:b/>
          <w:i/>
        </w:rPr>
        <w:t>Conservatism</w:t>
      </w:r>
      <w:proofErr w:type="spellEnd"/>
      <w:r w:rsidRPr="009C7566">
        <w:rPr>
          <w:b/>
          <w:i/>
        </w:rPr>
        <w:t xml:space="preserve">: </w:t>
      </w:r>
      <w:proofErr w:type="spellStart"/>
      <w:r w:rsidRPr="009C7566">
        <w:rPr>
          <w:b/>
          <w:i/>
        </w:rPr>
        <w:t>Dream</w:t>
      </w:r>
      <w:proofErr w:type="spellEnd"/>
      <w:r w:rsidRPr="009C7566">
        <w:rPr>
          <w:b/>
          <w:i/>
        </w:rPr>
        <w:t xml:space="preserve"> </w:t>
      </w:r>
      <w:proofErr w:type="spellStart"/>
      <w:r w:rsidRPr="009C7566">
        <w:rPr>
          <w:b/>
          <w:i/>
        </w:rPr>
        <w:t>and</w:t>
      </w:r>
      <w:proofErr w:type="spellEnd"/>
      <w:r w:rsidRPr="009C7566">
        <w:rPr>
          <w:b/>
          <w:i/>
        </w:rPr>
        <w:t xml:space="preserve"> </w:t>
      </w:r>
      <w:proofErr w:type="spellStart"/>
      <w:r w:rsidRPr="009C7566">
        <w:rPr>
          <w:b/>
          <w:i/>
        </w:rPr>
        <w:t>Reality</w:t>
      </w:r>
      <w:proofErr w:type="spellEnd"/>
      <w:r w:rsidRPr="009C7566">
        <w:rPr>
          <w:b/>
        </w:rPr>
        <w:t xml:space="preserve">, </w:t>
      </w:r>
      <w:proofErr w:type="spellStart"/>
      <w:r w:rsidRPr="009C7566">
        <w:rPr>
          <w:b/>
        </w:rPr>
        <w:t>Transaction</w:t>
      </w:r>
      <w:proofErr w:type="spellEnd"/>
      <w:r w:rsidRPr="009C7566">
        <w:rPr>
          <w:b/>
        </w:rPr>
        <w:t xml:space="preserve"> </w:t>
      </w:r>
      <w:proofErr w:type="spellStart"/>
      <w:r w:rsidRPr="009C7566">
        <w:rPr>
          <w:b/>
        </w:rPr>
        <w:t>Publishers</w:t>
      </w:r>
      <w:proofErr w:type="spellEnd"/>
      <w:r w:rsidRPr="009C7566">
        <w:rPr>
          <w:b/>
        </w:rPr>
        <w:t>, 2008</w:t>
      </w:r>
    </w:p>
    <w:p w:rsidR="00F31102" w:rsidRPr="009C7566" w:rsidRDefault="00F31102" w:rsidP="00F31102">
      <w:pPr>
        <w:numPr>
          <w:ilvl w:val="0"/>
          <w:numId w:val="2"/>
        </w:numPr>
        <w:rPr>
          <w:b/>
        </w:rPr>
      </w:pPr>
      <w:r w:rsidRPr="009C7566">
        <w:rPr>
          <w:b/>
        </w:rPr>
        <w:t xml:space="preserve">PEABODY, Bruce (Ed.), </w:t>
      </w:r>
      <w:proofErr w:type="spellStart"/>
      <w:r w:rsidRPr="009C7566">
        <w:rPr>
          <w:b/>
          <w:i/>
        </w:rPr>
        <w:t>The</w:t>
      </w:r>
      <w:proofErr w:type="spellEnd"/>
      <w:r w:rsidRPr="009C7566">
        <w:rPr>
          <w:b/>
          <w:i/>
        </w:rPr>
        <w:t xml:space="preserve"> </w:t>
      </w:r>
      <w:proofErr w:type="spellStart"/>
      <w:r w:rsidRPr="009C7566">
        <w:rPr>
          <w:b/>
          <w:i/>
        </w:rPr>
        <w:t>Politics</w:t>
      </w:r>
      <w:proofErr w:type="spellEnd"/>
      <w:r w:rsidRPr="009C7566">
        <w:rPr>
          <w:b/>
          <w:i/>
        </w:rPr>
        <w:t xml:space="preserve"> of </w:t>
      </w:r>
      <w:proofErr w:type="spellStart"/>
      <w:r w:rsidRPr="009C7566">
        <w:rPr>
          <w:b/>
          <w:i/>
        </w:rPr>
        <w:t>Judicial</w:t>
      </w:r>
      <w:proofErr w:type="spellEnd"/>
      <w:r w:rsidRPr="009C7566">
        <w:rPr>
          <w:b/>
          <w:i/>
        </w:rPr>
        <w:t xml:space="preserve"> </w:t>
      </w:r>
      <w:proofErr w:type="spellStart"/>
      <w:r w:rsidRPr="009C7566">
        <w:rPr>
          <w:b/>
          <w:i/>
        </w:rPr>
        <w:t>Independence</w:t>
      </w:r>
      <w:proofErr w:type="spellEnd"/>
      <w:r w:rsidRPr="009C7566">
        <w:rPr>
          <w:b/>
          <w:i/>
        </w:rPr>
        <w:t xml:space="preserve">, </w:t>
      </w:r>
      <w:proofErr w:type="spellStart"/>
      <w:r w:rsidRPr="009C7566">
        <w:rPr>
          <w:b/>
          <w:i/>
        </w:rPr>
        <w:t>Courts</w:t>
      </w:r>
      <w:proofErr w:type="spellEnd"/>
      <w:r w:rsidRPr="009C7566">
        <w:rPr>
          <w:b/>
          <w:i/>
        </w:rPr>
        <w:t xml:space="preserve">, </w:t>
      </w:r>
      <w:proofErr w:type="spellStart"/>
      <w:r w:rsidRPr="009C7566">
        <w:rPr>
          <w:b/>
          <w:i/>
        </w:rPr>
        <w:t>Politics</w:t>
      </w:r>
      <w:proofErr w:type="spellEnd"/>
      <w:r w:rsidRPr="009C7566">
        <w:rPr>
          <w:b/>
          <w:i/>
        </w:rPr>
        <w:t xml:space="preserve"> </w:t>
      </w:r>
      <w:proofErr w:type="spellStart"/>
      <w:r w:rsidRPr="009C7566">
        <w:rPr>
          <w:b/>
          <w:i/>
        </w:rPr>
        <w:t>and</w:t>
      </w:r>
      <w:proofErr w:type="spellEnd"/>
      <w:r w:rsidRPr="009C7566">
        <w:rPr>
          <w:b/>
          <w:i/>
        </w:rPr>
        <w:t xml:space="preserve"> </w:t>
      </w:r>
      <w:proofErr w:type="spellStart"/>
      <w:r w:rsidRPr="009C7566">
        <w:rPr>
          <w:b/>
          <w:i/>
        </w:rPr>
        <w:t>the</w:t>
      </w:r>
      <w:proofErr w:type="spellEnd"/>
      <w:r w:rsidRPr="009C7566">
        <w:rPr>
          <w:b/>
          <w:i/>
        </w:rPr>
        <w:t xml:space="preserve"> </w:t>
      </w:r>
      <w:proofErr w:type="spellStart"/>
      <w:r w:rsidRPr="009C7566">
        <w:rPr>
          <w:b/>
          <w:i/>
        </w:rPr>
        <w:t>Public</w:t>
      </w:r>
      <w:proofErr w:type="spellEnd"/>
      <w:r w:rsidRPr="009C7566">
        <w:rPr>
          <w:b/>
        </w:rPr>
        <w:t xml:space="preserve">, </w:t>
      </w:r>
      <w:proofErr w:type="spellStart"/>
      <w:r w:rsidRPr="009C7566">
        <w:rPr>
          <w:b/>
        </w:rPr>
        <w:t>The</w:t>
      </w:r>
      <w:proofErr w:type="spellEnd"/>
      <w:r w:rsidRPr="009C7566">
        <w:rPr>
          <w:b/>
        </w:rPr>
        <w:t xml:space="preserve"> John Hopkins </w:t>
      </w:r>
      <w:proofErr w:type="spellStart"/>
      <w:r w:rsidRPr="009C7566">
        <w:rPr>
          <w:b/>
        </w:rPr>
        <w:t>University</w:t>
      </w:r>
      <w:proofErr w:type="spellEnd"/>
      <w:r w:rsidRPr="009C7566">
        <w:rPr>
          <w:b/>
        </w:rPr>
        <w:t xml:space="preserve"> </w:t>
      </w:r>
      <w:proofErr w:type="spellStart"/>
      <w:r w:rsidRPr="009C7566">
        <w:rPr>
          <w:b/>
        </w:rPr>
        <w:t>Press</w:t>
      </w:r>
      <w:proofErr w:type="spellEnd"/>
      <w:r w:rsidRPr="009C7566">
        <w:rPr>
          <w:b/>
        </w:rPr>
        <w:t>, 2011</w:t>
      </w:r>
    </w:p>
    <w:p w:rsidR="00F31102" w:rsidRPr="009C7566" w:rsidRDefault="00F31102" w:rsidP="00F31102">
      <w:pPr>
        <w:numPr>
          <w:ilvl w:val="0"/>
          <w:numId w:val="2"/>
        </w:numPr>
        <w:rPr>
          <w:b/>
        </w:rPr>
      </w:pPr>
      <w:r w:rsidRPr="009C7566">
        <w:rPr>
          <w:b/>
        </w:rPr>
        <w:t xml:space="preserve">RAWLS, John, </w:t>
      </w:r>
      <w:proofErr w:type="spellStart"/>
      <w:r w:rsidRPr="009C7566">
        <w:rPr>
          <w:b/>
          <w:i/>
        </w:rPr>
        <w:t>Political</w:t>
      </w:r>
      <w:proofErr w:type="spellEnd"/>
      <w:r w:rsidRPr="009C7566">
        <w:rPr>
          <w:b/>
          <w:i/>
        </w:rPr>
        <w:t xml:space="preserve"> </w:t>
      </w:r>
      <w:proofErr w:type="spellStart"/>
      <w:r w:rsidRPr="009C7566">
        <w:rPr>
          <w:b/>
          <w:i/>
        </w:rPr>
        <w:t>Liberalism</w:t>
      </w:r>
      <w:proofErr w:type="spellEnd"/>
      <w:r w:rsidRPr="009C7566">
        <w:rPr>
          <w:b/>
        </w:rPr>
        <w:t xml:space="preserve">, </w:t>
      </w:r>
      <w:proofErr w:type="spellStart"/>
      <w:r w:rsidRPr="009C7566">
        <w:rPr>
          <w:b/>
        </w:rPr>
        <w:t>Newyork</w:t>
      </w:r>
      <w:proofErr w:type="spellEnd"/>
      <w:r w:rsidRPr="009C7566">
        <w:rPr>
          <w:b/>
        </w:rPr>
        <w:t xml:space="preserve">, Columbia </w:t>
      </w:r>
      <w:proofErr w:type="spellStart"/>
      <w:r w:rsidRPr="009C7566">
        <w:rPr>
          <w:b/>
        </w:rPr>
        <w:t>University</w:t>
      </w:r>
      <w:proofErr w:type="spellEnd"/>
      <w:r w:rsidRPr="009C7566">
        <w:rPr>
          <w:b/>
        </w:rPr>
        <w:t xml:space="preserve"> </w:t>
      </w:r>
      <w:proofErr w:type="spellStart"/>
      <w:r w:rsidRPr="009C7566">
        <w:rPr>
          <w:b/>
        </w:rPr>
        <w:t>Press</w:t>
      </w:r>
      <w:proofErr w:type="spellEnd"/>
      <w:r w:rsidRPr="009C7566">
        <w:rPr>
          <w:b/>
        </w:rPr>
        <w:t xml:space="preserve">, </w:t>
      </w:r>
      <w:proofErr w:type="spellStart"/>
      <w:r w:rsidRPr="009C7566">
        <w:rPr>
          <w:b/>
        </w:rPr>
        <w:t>Expanded</w:t>
      </w:r>
      <w:proofErr w:type="spellEnd"/>
      <w:r w:rsidRPr="009C7566">
        <w:rPr>
          <w:b/>
        </w:rPr>
        <w:t xml:space="preserve"> Edition, 2005</w:t>
      </w:r>
    </w:p>
    <w:p w:rsidR="00F31102" w:rsidRPr="009C7566" w:rsidRDefault="00F31102" w:rsidP="00F31102">
      <w:pPr>
        <w:numPr>
          <w:ilvl w:val="0"/>
          <w:numId w:val="2"/>
        </w:numPr>
        <w:rPr>
          <w:b/>
        </w:rPr>
      </w:pPr>
      <w:r w:rsidRPr="009C7566">
        <w:rPr>
          <w:b/>
        </w:rPr>
        <w:t xml:space="preserve">RYAN, Alan, </w:t>
      </w:r>
      <w:r w:rsidRPr="009C7566">
        <w:rPr>
          <w:rFonts w:ascii="TimesNewRomanPSMT" w:hAnsi="TimesNewRomanPSMT" w:cs="TimesNewRomanPSMT"/>
          <w:b/>
        </w:rPr>
        <w:t xml:space="preserve">“John </w:t>
      </w:r>
      <w:proofErr w:type="spellStart"/>
      <w:r w:rsidRPr="009C7566">
        <w:rPr>
          <w:rFonts w:ascii="TimesNewRomanPSMT" w:hAnsi="TimesNewRomanPSMT" w:cs="TimesNewRomanPSMT"/>
          <w:b/>
        </w:rPr>
        <w:t>Rawls</w:t>
      </w:r>
      <w:proofErr w:type="spellEnd"/>
      <w:r w:rsidRPr="009C7566">
        <w:rPr>
          <w:rFonts w:ascii="TimesNewRomanPSMT" w:hAnsi="TimesNewRomanPSMT" w:cs="TimesNewRomanPSMT"/>
          <w:b/>
        </w:rPr>
        <w:t xml:space="preserve">”, </w:t>
      </w:r>
      <w:r w:rsidRPr="009C7566">
        <w:rPr>
          <w:rFonts w:ascii="TimesNewRomanPSMT" w:hAnsi="TimesNewRomanPSMT" w:cs="TimesNewRomanPSMT"/>
          <w:b/>
          <w:i/>
        </w:rPr>
        <w:t>in</w:t>
      </w:r>
      <w:r w:rsidRPr="009C7566">
        <w:rPr>
          <w:rFonts w:ascii="TimesNewRomanPSMT" w:hAnsi="TimesNewRomanPSMT" w:cs="TimesNewRomanPSMT"/>
          <w:b/>
        </w:rPr>
        <w:t xml:space="preserve"> </w:t>
      </w:r>
      <w:proofErr w:type="spellStart"/>
      <w:r w:rsidRPr="009C7566">
        <w:rPr>
          <w:b/>
          <w:bCs/>
        </w:rPr>
        <w:t>Quentin</w:t>
      </w:r>
      <w:proofErr w:type="spellEnd"/>
      <w:r w:rsidRPr="009C7566">
        <w:rPr>
          <w:b/>
          <w:bCs/>
        </w:rPr>
        <w:t xml:space="preserve"> </w:t>
      </w:r>
      <w:proofErr w:type="spellStart"/>
      <w:r w:rsidRPr="009C7566">
        <w:rPr>
          <w:b/>
          <w:bCs/>
        </w:rPr>
        <w:t>Skinner</w:t>
      </w:r>
      <w:proofErr w:type="spellEnd"/>
      <w:r w:rsidRPr="009C7566">
        <w:rPr>
          <w:b/>
          <w:bCs/>
        </w:rPr>
        <w:t xml:space="preserve"> </w:t>
      </w:r>
      <w:r w:rsidRPr="009C7566">
        <w:rPr>
          <w:b/>
        </w:rPr>
        <w:t xml:space="preserve">(ed.), </w:t>
      </w:r>
      <w:r w:rsidRPr="009C7566">
        <w:rPr>
          <w:b/>
          <w:bCs/>
          <w:i/>
        </w:rPr>
        <w:t>Çağdaş Temel Kuramlar</w:t>
      </w:r>
      <w:r w:rsidRPr="009C7566">
        <w:rPr>
          <w:b/>
        </w:rPr>
        <w:t xml:space="preserve">, </w:t>
      </w:r>
      <w:proofErr w:type="gramStart"/>
      <w:r w:rsidRPr="009C7566">
        <w:rPr>
          <w:b/>
        </w:rPr>
        <w:t>(</w:t>
      </w:r>
      <w:proofErr w:type="gramEnd"/>
      <w:r w:rsidRPr="009C7566">
        <w:rPr>
          <w:b/>
        </w:rPr>
        <w:t>çev. Ahmet Demirhan</w:t>
      </w:r>
      <w:proofErr w:type="gramStart"/>
      <w:r w:rsidRPr="009C7566">
        <w:rPr>
          <w:b/>
        </w:rPr>
        <w:t>)</w:t>
      </w:r>
      <w:proofErr w:type="gramEnd"/>
      <w:r w:rsidRPr="009C7566">
        <w:rPr>
          <w:b/>
        </w:rPr>
        <w:t>, Ankara, Vadi Yayınları, 1997, ss.132-155</w:t>
      </w:r>
    </w:p>
    <w:p w:rsidR="00F31102" w:rsidRPr="009C7566" w:rsidRDefault="00F31102" w:rsidP="00F31102">
      <w:pPr>
        <w:numPr>
          <w:ilvl w:val="0"/>
          <w:numId w:val="2"/>
        </w:numPr>
        <w:rPr>
          <w:b/>
        </w:rPr>
      </w:pPr>
      <w:r w:rsidRPr="009C7566">
        <w:rPr>
          <w:b/>
        </w:rPr>
        <w:t xml:space="preserve">SMITH, </w:t>
      </w:r>
      <w:proofErr w:type="spellStart"/>
      <w:r w:rsidRPr="009C7566">
        <w:rPr>
          <w:b/>
        </w:rPr>
        <w:t>Rogers</w:t>
      </w:r>
      <w:proofErr w:type="spellEnd"/>
      <w:r w:rsidRPr="009C7566">
        <w:rPr>
          <w:b/>
        </w:rPr>
        <w:t xml:space="preserve"> M</w:t>
      </w:r>
      <w:proofErr w:type="gramStart"/>
      <w:r w:rsidRPr="009C7566">
        <w:rPr>
          <w:b/>
        </w:rPr>
        <w:t>.,</w:t>
      </w:r>
      <w:proofErr w:type="gramEnd"/>
      <w:r w:rsidRPr="009C7566">
        <w:rPr>
          <w:b/>
        </w:rPr>
        <w:t xml:space="preserve"> </w:t>
      </w:r>
      <w:proofErr w:type="spellStart"/>
      <w:r w:rsidRPr="009C7566">
        <w:rPr>
          <w:b/>
          <w:i/>
        </w:rPr>
        <w:t>Liberalism</w:t>
      </w:r>
      <w:proofErr w:type="spellEnd"/>
      <w:r w:rsidRPr="009C7566">
        <w:rPr>
          <w:b/>
          <w:i/>
        </w:rPr>
        <w:t xml:space="preserve"> </w:t>
      </w:r>
      <w:proofErr w:type="spellStart"/>
      <w:r w:rsidRPr="009C7566">
        <w:rPr>
          <w:b/>
          <w:i/>
        </w:rPr>
        <w:t>and</w:t>
      </w:r>
      <w:proofErr w:type="spellEnd"/>
      <w:r w:rsidRPr="009C7566">
        <w:rPr>
          <w:b/>
          <w:i/>
        </w:rPr>
        <w:t xml:space="preserve"> </w:t>
      </w:r>
      <w:proofErr w:type="spellStart"/>
      <w:r w:rsidRPr="009C7566">
        <w:rPr>
          <w:b/>
          <w:i/>
        </w:rPr>
        <w:t>American</w:t>
      </w:r>
      <w:proofErr w:type="spellEnd"/>
      <w:r w:rsidRPr="009C7566">
        <w:rPr>
          <w:b/>
          <w:i/>
        </w:rPr>
        <w:t xml:space="preserve"> Constitutional </w:t>
      </w:r>
      <w:proofErr w:type="spellStart"/>
      <w:r w:rsidRPr="009C7566">
        <w:rPr>
          <w:b/>
          <w:i/>
        </w:rPr>
        <w:t>Law</w:t>
      </w:r>
      <w:proofErr w:type="spellEnd"/>
      <w:r w:rsidRPr="009C7566">
        <w:rPr>
          <w:b/>
        </w:rPr>
        <w:t xml:space="preserve">, Harvard </w:t>
      </w:r>
      <w:proofErr w:type="spellStart"/>
      <w:r w:rsidRPr="009C7566">
        <w:rPr>
          <w:b/>
        </w:rPr>
        <w:t>University</w:t>
      </w:r>
      <w:proofErr w:type="spellEnd"/>
      <w:r w:rsidRPr="009C7566">
        <w:rPr>
          <w:b/>
        </w:rPr>
        <w:t xml:space="preserve"> </w:t>
      </w:r>
      <w:proofErr w:type="spellStart"/>
      <w:r w:rsidRPr="009C7566">
        <w:rPr>
          <w:b/>
        </w:rPr>
        <w:t>Press</w:t>
      </w:r>
      <w:proofErr w:type="spellEnd"/>
      <w:r w:rsidRPr="009C7566">
        <w:rPr>
          <w:b/>
        </w:rPr>
        <w:t>, 1985</w:t>
      </w:r>
    </w:p>
    <w:p w:rsidR="00F31102" w:rsidRPr="009C7566" w:rsidRDefault="00F31102" w:rsidP="00F31102">
      <w:pPr>
        <w:numPr>
          <w:ilvl w:val="0"/>
          <w:numId w:val="2"/>
        </w:numPr>
        <w:rPr>
          <w:b/>
        </w:rPr>
      </w:pPr>
      <w:r w:rsidRPr="009C7566">
        <w:rPr>
          <w:b/>
        </w:rPr>
        <w:t xml:space="preserve">TÜRK DİL KURUMU, Güncel Türkçe Sözlük, </w:t>
      </w:r>
      <w:hyperlink r:id="rId11" w:history="1">
        <w:r w:rsidRPr="009C7566">
          <w:rPr>
            <w:rStyle w:val="Hyperlink"/>
            <w:b/>
          </w:rPr>
          <w:t>http://www.tdk.gov.tr/index.php?option=com_gts&amp;arama=gts&amp;guid=TDK.GTS.4f257f68df2186.17280171</w:t>
        </w:r>
      </w:hyperlink>
    </w:p>
    <w:p w:rsidR="00F31102" w:rsidRPr="009C7566" w:rsidRDefault="00F31102" w:rsidP="00F31102">
      <w:pPr>
        <w:numPr>
          <w:ilvl w:val="0"/>
          <w:numId w:val="2"/>
        </w:numPr>
        <w:rPr>
          <w:b/>
        </w:rPr>
      </w:pPr>
      <w:r w:rsidRPr="009C7566">
        <w:rPr>
          <w:b/>
        </w:rPr>
        <w:t xml:space="preserve">UNGER, </w:t>
      </w:r>
      <w:proofErr w:type="spellStart"/>
      <w:r w:rsidRPr="009C7566">
        <w:rPr>
          <w:b/>
        </w:rPr>
        <w:t>Aryeh</w:t>
      </w:r>
      <w:proofErr w:type="spellEnd"/>
      <w:r w:rsidRPr="009C7566">
        <w:rPr>
          <w:b/>
        </w:rPr>
        <w:t xml:space="preserve"> L</w:t>
      </w:r>
      <w:proofErr w:type="gramStart"/>
      <w:r w:rsidRPr="009C7566">
        <w:rPr>
          <w:b/>
        </w:rPr>
        <w:t>.,</w:t>
      </w:r>
      <w:proofErr w:type="gramEnd"/>
      <w:r w:rsidRPr="009C7566">
        <w:rPr>
          <w:b/>
        </w:rPr>
        <w:t xml:space="preserve"> </w:t>
      </w:r>
      <w:r w:rsidRPr="009C7566">
        <w:rPr>
          <w:b/>
          <w:i/>
        </w:rPr>
        <w:t xml:space="preserve">Constitutional Development in </w:t>
      </w:r>
      <w:proofErr w:type="spellStart"/>
      <w:r w:rsidRPr="009C7566">
        <w:rPr>
          <w:b/>
          <w:i/>
        </w:rPr>
        <w:t>the</w:t>
      </w:r>
      <w:proofErr w:type="spellEnd"/>
      <w:r w:rsidRPr="009C7566">
        <w:rPr>
          <w:b/>
          <w:i/>
        </w:rPr>
        <w:t xml:space="preserve"> USSR: A Guide </w:t>
      </w:r>
      <w:proofErr w:type="spellStart"/>
      <w:r w:rsidRPr="009C7566">
        <w:rPr>
          <w:b/>
          <w:i/>
        </w:rPr>
        <w:t>to</w:t>
      </w:r>
      <w:proofErr w:type="spellEnd"/>
      <w:r w:rsidRPr="009C7566">
        <w:rPr>
          <w:b/>
          <w:i/>
        </w:rPr>
        <w:t xml:space="preserve"> </w:t>
      </w:r>
      <w:proofErr w:type="spellStart"/>
      <w:r w:rsidRPr="009C7566">
        <w:rPr>
          <w:b/>
          <w:i/>
        </w:rPr>
        <w:t>the</w:t>
      </w:r>
      <w:proofErr w:type="spellEnd"/>
      <w:r w:rsidRPr="009C7566">
        <w:rPr>
          <w:b/>
          <w:i/>
        </w:rPr>
        <w:t xml:space="preserve"> </w:t>
      </w:r>
      <w:proofErr w:type="spellStart"/>
      <w:r w:rsidRPr="009C7566">
        <w:rPr>
          <w:b/>
          <w:i/>
        </w:rPr>
        <w:t>Soviet</w:t>
      </w:r>
      <w:proofErr w:type="spellEnd"/>
      <w:r w:rsidRPr="009C7566">
        <w:rPr>
          <w:b/>
          <w:i/>
        </w:rPr>
        <w:t xml:space="preserve"> </w:t>
      </w:r>
      <w:proofErr w:type="spellStart"/>
      <w:r w:rsidRPr="009C7566">
        <w:rPr>
          <w:b/>
          <w:i/>
        </w:rPr>
        <w:t>Constitutions</w:t>
      </w:r>
      <w:proofErr w:type="spellEnd"/>
      <w:r w:rsidRPr="009C7566">
        <w:rPr>
          <w:b/>
        </w:rPr>
        <w:t xml:space="preserve">, </w:t>
      </w:r>
      <w:proofErr w:type="spellStart"/>
      <w:r w:rsidRPr="009C7566">
        <w:rPr>
          <w:b/>
        </w:rPr>
        <w:t>London</w:t>
      </w:r>
      <w:proofErr w:type="spellEnd"/>
      <w:r w:rsidRPr="009C7566">
        <w:rPr>
          <w:b/>
        </w:rPr>
        <w:t>, Taylor&amp;Francis, 1981</w:t>
      </w:r>
    </w:p>
    <w:sectPr w:rsidR="00F31102" w:rsidRPr="009C7566" w:rsidSect="00B45812">
      <w:pgSz w:w="11906" w:h="16838"/>
      <w:pgMar w:top="1417" w:right="1417" w:bottom="1417"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6E" w:rsidRDefault="00E83D6E">
      <w:r>
        <w:separator/>
      </w:r>
    </w:p>
  </w:endnote>
  <w:endnote w:type="continuationSeparator" w:id="0">
    <w:p w:rsidR="00E83D6E" w:rsidRDefault="00E8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6E" w:rsidRDefault="00E83D6E">
      <w:r>
        <w:separator/>
      </w:r>
    </w:p>
  </w:footnote>
  <w:footnote w:type="continuationSeparator" w:id="0">
    <w:p w:rsidR="00E83D6E" w:rsidRDefault="00E83D6E">
      <w:r>
        <w:continuationSeparator/>
      </w:r>
    </w:p>
  </w:footnote>
  <w:footnote w:id="1">
    <w:p w:rsidR="009C7566" w:rsidRDefault="009C7566">
      <w:pPr>
        <w:pStyle w:val="FootnoteText"/>
      </w:pPr>
      <w:r>
        <w:rPr>
          <w:rStyle w:val="FootnoteReference"/>
        </w:rPr>
        <w:footnoteRef/>
      </w:r>
      <w:r>
        <w:t xml:space="preserve"> Yalova Üniversitesi Hukuk Fakültesi Araştırma Görevlisi</w:t>
      </w:r>
    </w:p>
  </w:footnote>
  <w:footnote w:id="2">
    <w:p w:rsidR="009C7566" w:rsidRDefault="009C7566" w:rsidP="00F31102">
      <w:pPr>
        <w:pStyle w:val="FootnoteText"/>
      </w:pPr>
      <w:r>
        <w:rPr>
          <w:rStyle w:val="FootnoteReference"/>
        </w:rPr>
        <w:footnoteRef/>
      </w:r>
      <w:r>
        <w:t xml:space="preserve"> David G. </w:t>
      </w:r>
      <w:proofErr w:type="spellStart"/>
      <w:r>
        <w:t>Barnum</w:t>
      </w:r>
      <w:proofErr w:type="spellEnd"/>
      <w:r>
        <w:t xml:space="preserve">, </w:t>
      </w:r>
      <w:proofErr w:type="spellStart"/>
      <w:r>
        <w:rPr>
          <w:i/>
        </w:rPr>
        <w:t>The</w:t>
      </w:r>
      <w:proofErr w:type="spellEnd"/>
      <w:r>
        <w:rPr>
          <w:i/>
        </w:rPr>
        <w:t xml:space="preserve"> </w:t>
      </w:r>
      <w:proofErr w:type="spellStart"/>
      <w:r>
        <w:rPr>
          <w:i/>
        </w:rPr>
        <w:t>Supreme</w:t>
      </w:r>
      <w:proofErr w:type="spellEnd"/>
      <w:r>
        <w:rPr>
          <w:i/>
        </w:rPr>
        <w:t xml:space="preserve"> Court </w:t>
      </w:r>
      <w:proofErr w:type="spellStart"/>
      <w:r>
        <w:rPr>
          <w:i/>
        </w:rPr>
        <w:t>and</w:t>
      </w:r>
      <w:proofErr w:type="spellEnd"/>
      <w:r>
        <w:rPr>
          <w:i/>
        </w:rPr>
        <w:t xml:space="preserve"> </w:t>
      </w:r>
      <w:proofErr w:type="spellStart"/>
      <w:r>
        <w:rPr>
          <w:i/>
        </w:rPr>
        <w:t>American</w:t>
      </w:r>
      <w:proofErr w:type="spellEnd"/>
      <w:r>
        <w:rPr>
          <w:i/>
        </w:rPr>
        <w:t xml:space="preserve"> </w:t>
      </w:r>
      <w:proofErr w:type="spellStart"/>
      <w:r>
        <w:rPr>
          <w:i/>
        </w:rPr>
        <w:t>Democracy</w:t>
      </w:r>
      <w:proofErr w:type="spellEnd"/>
      <w:r>
        <w:t xml:space="preserve">, St. </w:t>
      </w:r>
      <w:proofErr w:type="spellStart"/>
      <w:r>
        <w:t>Martin’s</w:t>
      </w:r>
      <w:proofErr w:type="spellEnd"/>
      <w:r>
        <w:t xml:space="preserve"> </w:t>
      </w:r>
      <w:proofErr w:type="spellStart"/>
      <w:r>
        <w:t>Press</w:t>
      </w:r>
      <w:proofErr w:type="spellEnd"/>
      <w:r>
        <w:t>, 1993, s.VII</w:t>
      </w:r>
    </w:p>
  </w:footnote>
  <w:footnote w:id="3">
    <w:p w:rsidR="009C7566" w:rsidRDefault="009C7566" w:rsidP="00F31102">
      <w:pPr>
        <w:pStyle w:val="FootnoteText"/>
      </w:pPr>
      <w:r>
        <w:rPr>
          <w:rStyle w:val="FootnoteReference"/>
        </w:rPr>
        <w:footnoteRef/>
      </w:r>
      <w:r>
        <w:t xml:space="preserve"> Bruce </w:t>
      </w:r>
      <w:proofErr w:type="spellStart"/>
      <w:r>
        <w:t>Peabody</w:t>
      </w:r>
      <w:proofErr w:type="spellEnd"/>
      <w:r>
        <w:t xml:space="preserve"> (Ed.), </w:t>
      </w:r>
      <w:proofErr w:type="spellStart"/>
      <w:r>
        <w:rPr>
          <w:i/>
        </w:rPr>
        <w:t>The</w:t>
      </w:r>
      <w:proofErr w:type="spellEnd"/>
      <w:r>
        <w:rPr>
          <w:i/>
        </w:rPr>
        <w:t xml:space="preserve"> </w:t>
      </w:r>
      <w:proofErr w:type="spellStart"/>
      <w:r>
        <w:rPr>
          <w:i/>
        </w:rPr>
        <w:t>Politics</w:t>
      </w:r>
      <w:proofErr w:type="spellEnd"/>
      <w:r>
        <w:rPr>
          <w:i/>
        </w:rPr>
        <w:t xml:space="preserve"> of </w:t>
      </w:r>
      <w:proofErr w:type="spellStart"/>
      <w:r>
        <w:rPr>
          <w:i/>
        </w:rPr>
        <w:t>Judicial</w:t>
      </w:r>
      <w:proofErr w:type="spellEnd"/>
      <w:r>
        <w:rPr>
          <w:i/>
        </w:rPr>
        <w:t xml:space="preserve"> </w:t>
      </w:r>
      <w:proofErr w:type="spellStart"/>
      <w:r>
        <w:rPr>
          <w:i/>
        </w:rPr>
        <w:t>Independence</w:t>
      </w:r>
      <w:proofErr w:type="spellEnd"/>
      <w:r>
        <w:rPr>
          <w:i/>
        </w:rPr>
        <w:t xml:space="preserve">, </w:t>
      </w:r>
      <w:proofErr w:type="spellStart"/>
      <w:r>
        <w:rPr>
          <w:i/>
        </w:rPr>
        <w:t>Courts</w:t>
      </w:r>
      <w:proofErr w:type="spellEnd"/>
      <w:r>
        <w:rPr>
          <w:i/>
        </w:rPr>
        <w:t xml:space="preserve">, </w:t>
      </w:r>
      <w:proofErr w:type="spellStart"/>
      <w:r>
        <w:rPr>
          <w:i/>
        </w:rPr>
        <w:t>Politics</w:t>
      </w:r>
      <w:proofErr w:type="spellEnd"/>
      <w:r>
        <w:rPr>
          <w:i/>
        </w:rPr>
        <w:t xml:space="preserve"> </w:t>
      </w:r>
      <w:proofErr w:type="spellStart"/>
      <w:r>
        <w:rPr>
          <w:i/>
        </w:rPr>
        <w:t>and</w:t>
      </w:r>
      <w:proofErr w:type="spellEnd"/>
      <w:r>
        <w:rPr>
          <w:i/>
        </w:rPr>
        <w:t xml:space="preserve"> </w:t>
      </w:r>
      <w:proofErr w:type="spellStart"/>
      <w:r>
        <w:rPr>
          <w:i/>
        </w:rPr>
        <w:t>the</w:t>
      </w:r>
      <w:proofErr w:type="spellEnd"/>
      <w:r>
        <w:rPr>
          <w:i/>
        </w:rPr>
        <w:t xml:space="preserve"> </w:t>
      </w:r>
      <w:proofErr w:type="spellStart"/>
      <w:r>
        <w:rPr>
          <w:i/>
        </w:rPr>
        <w:t>Public</w:t>
      </w:r>
      <w:proofErr w:type="spellEnd"/>
      <w:r>
        <w:t xml:space="preserve">, </w:t>
      </w:r>
      <w:proofErr w:type="spellStart"/>
      <w:r>
        <w:t>The</w:t>
      </w:r>
      <w:proofErr w:type="spellEnd"/>
      <w:r>
        <w:t xml:space="preserve"> John Hopkins </w:t>
      </w:r>
      <w:proofErr w:type="spellStart"/>
      <w:r>
        <w:t>University</w:t>
      </w:r>
      <w:proofErr w:type="spellEnd"/>
      <w:r>
        <w:t xml:space="preserve"> </w:t>
      </w:r>
      <w:proofErr w:type="spellStart"/>
      <w:r>
        <w:t>Press</w:t>
      </w:r>
      <w:proofErr w:type="spellEnd"/>
      <w:r>
        <w:t xml:space="preserve">, 2011, s.244; </w:t>
      </w:r>
      <w:proofErr w:type="spellStart"/>
      <w:r>
        <w:t>Sanford</w:t>
      </w:r>
      <w:proofErr w:type="spellEnd"/>
      <w:r>
        <w:t xml:space="preserve"> </w:t>
      </w:r>
      <w:proofErr w:type="spellStart"/>
      <w:r>
        <w:t>Levinson</w:t>
      </w:r>
      <w:proofErr w:type="spellEnd"/>
      <w:r>
        <w:t xml:space="preserve">, </w:t>
      </w:r>
      <w:r>
        <w:rPr>
          <w:i/>
        </w:rPr>
        <w:t xml:space="preserve">Constitutional </w:t>
      </w:r>
      <w:proofErr w:type="spellStart"/>
      <w:r>
        <w:rPr>
          <w:i/>
        </w:rPr>
        <w:t>Faith</w:t>
      </w:r>
      <w:proofErr w:type="spellEnd"/>
      <w:r>
        <w:t xml:space="preserve">, Princeton </w:t>
      </w:r>
      <w:proofErr w:type="spellStart"/>
      <w:r>
        <w:t>University</w:t>
      </w:r>
      <w:proofErr w:type="spellEnd"/>
      <w:r>
        <w:t xml:space="preserve"> </w:t>
      </w:r>
      <w:proofErr w:type="spellStart"/>
      <w:r>
        <w:t>Press</w:t>
      </w:r>
      <w:proofErr w:type="spellEnd"/>
      <w:r>
        <w:t xml:space="preserve">, 2011, s.43; John </w:t>
      </w:r>
      <w:proofErr w:type="spellStart"/>
      <w:r>
        <w:t>Agresto</w:t>
      </w:r>
      <w:proofErr w:type="spellEnd"/>
      <w:r>
        <w:t xml:space="preserve">, </w:t>
      </w:r>
      <w:proofErr w:type="spellStart"/>
      <w:r>
        <w:rPr>
          <w:i/>
        </w:rPr>
        <w:t>The</w:t>
      </w:r>
      <w:proofErr w:type="spellEnd"/>
      <w:r>
        <w:rPr>
          <w:i/>
        </w:rPr>
        <w:t xml:space="preserve"> </w:t>
      </w:r>
      <w:proofErr w:type="spellStart"/>
      <w:r>
        <w:rPr>
          <w:i/>
        </w:rPr>
        <w:t>Supreme</w:t>
      </w:r>
      <w:proofErr w:type="spellEnd"/>
      <w:r>
        <w:rPr>
          <w:i/>
        </w:rPr>
        <w:t xml:space="preserve"> Court </w:t>
      </w:r>
      <w:proofErr w:type="spellStart"/>
      <w:r>
        <w:rPr>
          <w:i/>
        </w:rPr>
        <w:t>and</w:t>
      </w:r>
      <w:proofErr w:type="spellEnd"/>
      <w:r>
        <w:rPr>
          <w:i/>
        </w:rPr>
        <w:t xml:space="preserve"> </w:t>
      </w:r>
      <w:proofErr w:type="spellStart"/>
      <w:r>
        <w:rPr>
          <w:i/>
        </w:rPr>
        <w:t>American</w:t>
      </w:r>
      <w:proofErr w:type="spellEnd"/>
      <w:r>
        <w:rPr>
          <w:i/>
        </w:rPr>
        <w:t xml:space="preserve"> </w:t>
      </w:r>
      <w:proofErr w:type="spellStart"/>
      <w:r>
        <w:rPr>
          <w:i/>
        </w:rPr>
        <w:t>Democracy</w:t>
      </w:r>
      <w:proofErr w:type="spellEnd"/>
      <w:r>
        <w:t xml:space="preserve">, Cornell </w:t>
      </w:r>
      <w:proofErr w:type="spellStart"/>
      <w:r>
        <w:t>University</w:t>
      </w:r>
      <w:proofErr w:type="spellEnd"/>
      <w:r>
        <w:t xml:space="preserve"> </w:t>
      </w:r>
      <w:proofErr w:type="spellStart"/>
      <w:r>
        <w:t>Press</w:t>
      </w:r>
      <w:proofErr w:type="spellEnd"/>
      <w:r>
        <w:t>, 1984, s.106</w:t>
      </w:r>
    </w:p>
  </w:footnote>
  <w:footnote w:id="4">
    <w:p w:rsidR="009C7566" w:rsidRDefault="009C7566" w:rsidP="00F31102">
      <w:pPr>
        <w:pStyle w:val="FootnoteText"/>
      </w:pPr>
      <w:r>
        <w:rPr>
          <w:rStyle w:val="FootnoteReference"/>
        </w:rPr>
        <w:footnoteRef/>
      </w:r>
      <w:r>
        <w:t xml:space="preserve">  </w:t>
      </w:r>
      <w:proofErr w:type="spellStart"/>
      <w:r>
        <w:t>Curtis</w:t>
      </w:r>
      <w:proofErr w:type="spellEnd"/>
      <w:r>
        <w:t xml:space="preserve"> </w:t>
      </w:r>
      <w:proofErr w:type="spellStart"/>
      <w:r>
        <w:t>Cook</w:t>
      </w:r>
      <w:proofErr w:type="spellEnd"/>
      <w:r>
        <w:t xml:space="preserve"> (ed.), </w:t>
      </w:r>
      <w:r>
        <w:rPr>
          <w:i/>
        </w:rPr>
        <w:t xml:space="preserve">Constitutional </w:t>
      </w:r>
      <w:proofErr w:type="spellStart"/>
      <w:r>
        <w:rPr>
          <w:i/>
        </w:rPr>
        <w:t>Predicament</w:t>
      </w:r>
      <w:proofErr w:type="spellEnd"/>
      <w:r>
        <w:rPr>
          <w:i/>
        </w:rPr>
        <w:t xml:space="preserve">: </w:t>
      </w:r>
      <w:proofErr w:type="spellStart"/>
      <w:r>
        <w:rPr>
          <w:i/>
        </w:rPr>
        <w:t>Canada</w:t>
      </w:r>
      <w:proofErr w:type="spellEnd"/>
      <w:r>
        <w:rPr>
          <w:i/>
        </w:rPr>
        <w:t xml:space="preserve"> </w:t>
      </w:r>
      <w:proofErr w:type="spellStart"/>
      <w:r>
        <w:rPr>
          <w:i/>
        </w:rPr>
        <w:t>After</w:t>
      </w:r>
      <w:proofErr w:type="spellEnd"/>
      <w:r>
        <w:rPr>
          <w:i/>
        </w:rPr>
        <w:t xml:space="preserve"> </w:t>
      </w:r>
      <w:proofErr w:type="spellStart"/>
      <w:r>
        <w:rPr>
          <w:i/>
        </w:rPr>
        <w:t>the</w:t>
      </w:r>
      <w:proofErr w:type="spellEnd"/>
      <w:r>
        <w:rPr>
          <w:i/>
        </w:rPr>
        <w:t xml:space="preserve"> </w:t>
      </w:r>
      <w:proofErr w:type="spellStart"/>
      <w:r>
        <w:rPr>
          <w:i/>
        </w:rPr>
        <w:t>Referendum</w:t>
      </w:r>
      <w:proofErr w:type="spellEnd"/>
      <w:r>
        <w:rPr>
          <w:i/>
        </w:rPr>
        <w:t xml:space="preserve"> of 1992</w:t>
      </w:r>
      <w:r>
        <w:t xml:space="preserve">, </w:t>
      </w:r>
      <w:proofErr w:type="spellStart"/>
      <w:r>
        <w:t>McGill-Queen’s</w:t>
      </w:r>
      <w:proofErr w:type="spellEnd"/>
      <w:r>
        <w:t xml:space="preserve"> </w:t>
      </w:r>
      <w:proofErr w:type="spellStart"/>
      <w:r>
        <w:t>University</w:t>
      </w:r>
      <w:proofErr w:type="spellEnd"/>
      <w:r>
        <w:t xml:space="preserve"> </w:t>
      </w:r>
      <w:proofErr w:type="spellStart"/>
      <w:r>
        <w:t>Press</w:t>
      </w:r>
      <w:proofErr w:type="spellEnd"/>
      <w:r>
        <w:t>, 1994, s.16</w:t>
      </w:r>
    </w:p>
  </w:footnote>
  <w:footnote w:id="5">
    <w:p w:rsidR="009C7566" w:rsidRDefault="009C7566" w:rsidP="00F31102">
      <w:pPr>
        <w:pStyle w:val="FootnoteText"/>
      </w:pPr>
      <w:r>
        <w:rPr>
          <w:rStyle w:val="FootnoteReference"/>
        </w:rPr>
        <w:footnoteRef/>
      </w:r>
      <w:r>
        <w:t xml:space="preserve"> Ludwig </w:t>
      </w:r>
      <w:proofErr w:type="spellStart"/>
      <w:r>
        <w:t>von</w:t>
      </w:r>
      <w:proofErr w:type="spellEnd"/>
      <w:r>
        <w:t xml:space="preserve"> </w:t>
      </w:r>
      <w:proofErr w:type="spellStart"/>
      <w:r>
        <w:t>Mises</w:t>
      </w:r>
      <w:proofErr w:type="spellEnd"/>
      <w:r>
        <w:t xml:space="preserve">, </w:t>
      </w:r>
      <w:proofErr w:type="spellStart"/>
      <w:r>
        <w:rPr>
          <w:i/>
        </w:rPr>
        <w:t>Liberalism</w:t>
      </w:r>
      <w:proofErr w:type="spellEnd"/>
      <w:r>
        <w:t xml:space="preserve">, </w:t>
      </w:r>
      <w:proofErr w:type="spellStart"/>
      <w:r>
        <w:t>translated</w:t>
      </w:r>
      <w:proofErr w:type="spellEnd"/>
      <w:r>
        <w:t xml:space="preserve"> </w:t>
      </w:r>
      <w:proofErr w:type="spellStart"/>
      <w:r>
        <w:t>by</w:t>
      </w:r>
      <w:proofErr w:type="spellEnd"/>
      <w:r>
        <w:t xml:space="preserve"> </w:t>
      </w:r>
      <w:proofErr w:type="spellStart"/>
      <w:r>
        <w:t>Ralph</w:t>
      </w:r>
      <w:proofErr w:type="spellEnd"/>
      <w:r>
        <w:t xml:space="preserve"> </w:t>
      </w:r>
      <w:proofErr w:type="spellStart"/>
      <w:r>
        <w:t>Raico</w:t>
      </w:r>
      <w:proofErr w:type="spellEnd"/>
      <w:r>
        <w:t xml:space="preserve">, California, </w:t>
      </w:r>
      <w:proofErr w:type="spellStart"/>
      <w:r>
        <w:t>Cobden</w:t>
      </w:r>
      <w:proofErr w:type="spellEnd"/>
      <w:r>
        <w:t xml:space="preserve"> </w:t>
      </w:r>
      <w:proofErr w:type="spellStart"/>
      <w:r>
        <w:t>Press</w:t>
      </w:r>
      <w:proofErr w:type="spellEnd"/>
      <w:r>
        <w:t>, 2002, s.V</w:t>
      </w:r>
    </w:p>
  </w:footnote>
  <w:footnote w:id="6">
    <w:p w:rsidR="009C7566" w:rsidRDefault="009C7566" w:rsidP="00F31102">
      <w:pPr>
        <w:pStyle w:val="FootnoteText"/>
      </w:pPr>
      <w:r>
        <w:rPr>
          <w:rStyle w:val="FootnoteReference"/>
        </w:rPr>
        <w:footnoteRef/>
      </w:r>
      <w:r>
        <w:t xml:space="preserve"> John </w:t>
      </w:r>
      <w:proofErr w:type="spellStart"/>
      <w:r>
        <w:t>Rawls</w:t>
      </w:r>
      <w:proofErr w:type="spellEnd"/>
      <w:r>
        <w:t xml:space="preserve">, </w:t>
      </w:r>
      <w:proofErr w:type="spellStart"/>
      <w:r>
        <w:rPr>
          <w:i/>
        </w:rPr>
        <w:t>Political</w:t>
      </w:r>
      <w:proofErr w:type="spellEnd"/>
      <w:r>
        <w:rPr>
          <w:i/>
        </w:rPr>
        <w:t xml:space="preserve"> </w:t>
      </w:r>
      <w:proofErr w:type="spellStart"/>
      <w:r>
        <w:rPr>
          <w:i/>
        </w:rPr>
        <w:t>Liberalism</w:t>
      </w:r>
      <w:proofErr w:type="spellEnd"/>
      <w:r>
        <w:t xml:space="preserve">, </w:t>
      </w:r>
      <w:proofErr w:type="spellStart"/>
      <w:r>
        <w:t>Newyork</w:t>
      </w:r>
      <w:proofErr w:type="spellEnd"/>
      <w:r>
        <w:t xml:space="preserve">, Columbia </w:t>
      </w:r>
      <w:proofErr w:type="spellStart"/>
      <w:r>
        <w:t>University</w:t>
      </w:r>
      <w:proofErr w:type="spellEnd"/>
      <w:r>
        <w:t xml:space="preserve"> </w:t>
      </w:r>
      <w:proofErr w:type="spellStart"/>
      <w:r>
        <w:t>Press</w:t>
      </w:r>
      <w:proofErr w:type="spellEnd"/>
      <w:r>
        <w:t xml:space="preserve">, </w:t>
      </w:r>
      <w:proofErr w:type="spellStart"/>
      <w:r>
        <w:t>Expanded</w:t>
      </w:r>
      <w:proofErr w:type="spellEnd"/>
      <w:r>
        <w:t xml:space="preserve"> Edition, 2005, s.XXIV</w:t>
      </w:r>
    </w:p>
  </w:footnote>
  <w:footnote w:id="7">
    <w:p w:rsidR="009C7566" w:rsidRDefault="009C7566" w:rsidP="00F31102">
      <w:pPr>
        <w:pStyle w:val="FootnoteText"/>
      </w:pPr>
      <w:r>
        <w:rPr>
          <w:rStyle w:val="FootnoteReference"/>
        </w:rPr>
        <w:footnoteRef/>
      </w:r>
      <w:r>
        <w:t xml:space="preserve"> </w:t>
      </w:r>
      <w:proofErr w:type="spellStart"/>
      <w:r>
        <w:t>Rawls</w:t>
      </w:r>
      <w:proofErr w:type="spellEnd"/>
      <w:r>
        <w:t xml:space="preserve">, </w:t>
      </w:r>
      <w:proofErr w:type="spellStart"/>
      <w:proofErr w:type="gramStart"/>
      <w:r>
        <w:t>loc.cit</w:t>
      </w:r>
      <w:proofErr w:type="spellEnd"/>
      <w:proofErr w:type="gramEnd"/>
      <w:r>
        <w:t>.</w:t>
      </w:r>
    </w:p>
  </w:footnote>
  <w:footnote w:id="8">
    <w:p w:rsidR="009C7566" w:rsidRDefault="009C7566" w:rsidP="00F31102">
      <w:pPr>
        <w:pStyle w:val="FootnoteText"/>
      </w:pPr>
      <w:r>
        <w:rPr>
          <w:rStyle w:val="FootnoteReference"/>
        </w:rPr>
        <w:footnoteRef/>
      </w:r>
      <w:r>
        <w:t xml:space="preserve"> </w:t>
      </w:r>
      <w:proofErr w:type="spellStart"/>
      <w:r>
        <w:t>Hobhouse</w:t>
      </w:r>
      <w:proofErr w:type="spellEnd"/>
      <w:r>
        <w:t>, ‘</w:t>
      </w:r>
      <w:proofErr w:type="spellStart"/>
      <w:r>
        <w:t>authoritarian</w:t>
      </w:r>
      <w:proofErr w:type="spellEnd"/>
      <w:r>
        <w:t>’ kelimesini kullanmaktadır.</w:t>
      </w:r>
    </w:p>
  </w:footnote>
  <w:footnote w:id="9">
    <w:p w:rsidR="009C7566" w:rsidRDefault="009C7566" w:rsidP="00F31102">
      <w:pPr>
        <w:pStyle w:val="FootnoteText"/>
      </w:pPr>
      <w:r>
        <w:rPr>
          <w:rStyle w:val="FootnoteReference"/>
        </w:rPr>
        <w:footnoteRef/>
      </w:r>
      <w:r>
        <w:t xml:space="preserve">  L. T. </w:t>
      </w:r>
      <w:proofErr w:type="spellStart"/>
      <w:r>
        <w:t>Hobhouse</w:t>
      </w:r>
      <w:proofErr w:type="spellEnd"/>
      <w:r>
        <w:t xml:space="preserve">, </w:t>
      </w:r>
      <w:proofErr w:type="spellStart"/>
      <w:r>
        <w:rPr>
          <w:i/>
        </w:rPr>
        <w:t>Liberalism</w:t>
      </w:r>
      <w:proofErr w:type="spellEnd"/>
      <w:r>
        <w:t xml:space="preserve">, </w:t>
      </w:r>
      <w:proofErr w:type="spellStart"/>
      <w:r>
        <w:t>Middlesex</w:t>
      </w:r>
      <w:proofErr w:type="spellEnd"/>
      <w:r>
        <w:t xml:space="preserve">, </w:t>
      </w:r>
      <w:proofErr w:type="spellStart"/>
      <w:r>
        <w:t>The</w:t>
      </w:r>
      <w:proofErr w:type="spellEnd"/>
      <w:r>
        <w:t xml:space="preserve"> </w:t>
      </w:r>
      <w:proofErr w:type="spellStart"/>
      <w:r>
        <w:t>Eco</w:t>
      </w:r>
      <w:proofErr w:type="spellEnd"/>
      <w:r>
        <w:t xml:space="preserve"> Library, 2009,  s.10</w:t>
      </w:r>
    </w:p>
  </w:footnote>
  <w:footnote w:id="10">
    <w:p w:rsidR="009C7566" w:rsidRDefault="009C7566" w:rsidP="00F31102">
      <w:pPr>
        <w:pStyle w:val="FootnoteText"/>
      </w:pPr>
      <w:r>
        <w:rPr>
          <w:rStyle w:val="FootnoteReference"/>
        </w:rPr>
        <w:footnoteRef/>
      </w:r>
      <w:r>
        <w:t xml:space="preserve"> </w:t>
      </w:r>
      <w:proofErr w:type="spellStart"/>
      <w:r>
        <w:t>Hobshouse</w:t>
      </w:r>
      <w:proofErr w:type="spellEnd"/>
      <w:r>
        <w:t xml:space="preserve">, </w:t>
      </w:r>
      <w:proofErr w:type="spellStart"/>
      <w:proofErr w:type="gramStart"/>
      <w:r>
        <w:t>loc.cit</w:t>
      </w:r>
      <w:proofErr w:type="spellEnd"/>
      <w:proofErr w:type="gramEnd"/>
      <w:r>
        <w:t>.</w:t>
      </w:r>
    </w:p>
  </w:footnote>
  <w:footnote w:id="11">
    <w:p w:rsidR="009C7566" w:rsidRDefault="009C7566" w:rsidP="00F31102">
      <w:pPr>
        <w:pStyle w:val="FootnoteText"/>
      </w:pPr>
      <w:r>
        <w:rPr>
          <w:rStyle w:val="FootnoteReference"/>
        </w:rPr>
        <w:footnoteRef/>
      </w:r>
      <w:r>
        <w:t xml:space="preserve"> </w:t>
      </w:r>
      <w:proofErr w:type="spellStart"/>
      <w:r>
        <w:t>Rogers</w:t>
      </w:r>
      <w:proofErr w:type="spellEnd"/>
      <w:r>
        <w:t xml:space="preserve"> M. Smith, </w:t>
      </w:r>
      <w:proofErr w:type="spellStart"/>
      <w:r>
        <w:rPr>
          <w:i/>
        </w:rPr>
        <w:t>Liberalism</w:t>
      </w:r>
      <w:proofErr w:type="spellEnd"/>
      <w:r>
        <w:rPr>
          <w:i/>
        </w:rPr>
        <w:t xml:space="preserve"> </w:t>
      </w:r>
      <w:proofErr w:type="spellStart"/>
      <w:r>
        <w:rPr>
          <w:i/>
        </w:rPr>
        <w:t>and</w:t>
      </w:r>
      <w:proofErr w:type="spellEnd"/>
      <w:r>
        <w:rPr>
          <w:i/>
        </w:rPr>
        <w:t xml:space="preserve"> </w:t>
      </w:r>
      <w:proofErr w:type="spellStart"/>
      <w:r>
        <w:rPr>
          <w:i/>
        </w:rPr>
        <w:t>American</w:t>
      </w:r>
      <w:proofErr w:type="spellEnd"/>
      <w:r>
        <w:rPr>
          <w:i/>
        </w:rPr>
        <w:t xml:space="preserve"> Constitutional </w:t>
      </w:r>
      <w:proofErr w:type="spellStart"/>
      <w:r>
        <w:rPr>
          <w:i/>
        </w:rPr>
        <w:t>Law</w:t>
      </w:r>
      <w:proofErr w:type="spellEnd"/>
      <w:r>
        <w:t xml:space="preserve">, Harvard </w:t>
      </w:r>
      <w:proofErr w:type="spellStart"/>
      <w:r>
        <w:t>University</w:t>
      </w:r>
      <w:proofErr w:type="spellEnd"/>
      <w:r>
        <w:t xml:space="preserve"> </w:t>
      </w:r>
      <w:proofErr w:type="spellStart"/>
      <w:r>
        <w:t>Press</w:t>
      </w:r>
      <w:proofErr w:type="spellEnd"/>
      <w:r>
        <w:t xml:space="preserve">, 1985, s.13 </w:t>
      </w:r>
    </w:p>
  </w:footnote>
  <w:footnote w:id="12">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13">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14">
    <w:p w:rsidR="009C7566" w:rsidRDefault="009C7566" w:rsidP="00F31102">
      <w:pPr>
        <w:pStyle w:val="FootnoteText"/>
      </w:pPr>
      <w:r>
        <w:rPr>
          <w:rStyle w:val="FootnoteReference"/>
        </w:rPr>
        <w:footnoteRef/>
      </w:r>
      <w:r>
        <w:t xml:space="preserve"> </w:t>
      </w:r>
      <w:proofErr w:type="spellStart"/>
      <w:r>
        <w:t>Roger</w:t>
      </w:r>
      <w:proofErr w:type="spellEnd"/>
      <w:r>
        <w:t xml:space="preserve"> D. </w:t>
      </w:r>
      <w:proofErr w:type="spellStart"/>
      <w:r>
        <w:t>Congleton</w:t>
      </w:r>
      <w:proofErr w:type="spellEnd"/>
      <w:r>
        <w:t xml:space="preserve">, </w:t>
      </w:r>
      <w:proofErr w:type="spellStart"/>
      <w:r>
        <w:rPr>
          <w:i/>
        </w:rPr>
        <w:t>Perfecting</w:t>
      </w:r>
      <w:proofErr w:type="spellEnd"/>
      <w:r>
        <w:rPr>
          <w:i/>
        </w:rPr>
        <w:t xml:space="preserve"> </w:t>
      </w:r>
      <w:proofErr w:type="spellStart"/>
      <w:r>
        <w:rPr>
          <w:i/>
        </w:rPr>
        <w:t>Parliament</w:t>
      </w:r>
      <w:proofErr w:type="spellEnd"/>
      <w:r>
        <w:rPr>
          <w:i/>
        </w:rPr>
        <w:t xml:space="preserve">: Constitutional Reform, </w:t>
      </w:r>
      <w:proofErr w:type="spellStart"/>
      <w:r>
        <w:rPr>
          <w:i/>
        </w:rPr>
        <w:t>Liberalism</w:t>
      </w:r>
      <w:proofErr w:type="spellEnd"/>
      <w:r>
        <w:rPr>
          <w:i/>
        </w:rPr>
        <w:t xml:space="preserve">, </w:t>
      </w:r>
      <w:proofErr w:type="spellStart"/>
      <w:r>
        <w:rPr>
          <w:i/>
        </w:rPr>
        <w:t>and</w:t>
      </w:r>
      <w:proofErr w:type="spellEnd"/>
      <w:r>
        <w:rPr>
          <w:i/>
        </w:rPr>
        <w:t xml:space="preserve"> </w:t>
      </w:r>
      <w:proofErr w:type="spellStart"/>
      <w:r>
        <w:rPr>
          <w:i/>
        </w:rPr>
        <w:t>the</w:t>
      </w:r>
      <w:proofErr w:type="spellEnd"/>
      <w:r>
        <w:rPr>
          <w:i/>
        </w:rPr>
        <w:t xml:space="preserve"> Rise of Western </w:t>
      </w:r>
      <w:proofErr w:type="spellStart"/>
      <w:r>
        <w:rPr>
          <w:i/>
        </w:rPr>
        <w:t>Democracy</w:t>
      </w:r>
      <w:proofErr w:type="spellEnd"/>
      <w:r>
        <w:t xml:space="preserve">, </w:t>
      </w:r>
      <w:proofErr w:type="spellStart"/>
      <w:r>
        <w:t>Newyork</w:t>
      </w:r>
      <w:proofErr w:type="spellEnd"/>
      <w:r>
        <w:t xml:space="preserve">, Cambridge </w:t>
      </w:r>
      <w:proofErr w:type="spellStart"/>
      <w:r>
        <w:t>University</w:t>
      </w:r>
      <w:proofErr w:type="spellEnd"/>
      <w:r>
        <w:t xml:space="preserve"> </w:t>
      </w:r>
      <w:proofErr w:type="spellStart"/>
      <w:r>
        <w:t>Press</w:t>
      </w:r>
      <w:proofErr w:type="spellEnd"/>
      <w:r>
        <w:t>, 2011, s.450</w:t>
      </w:r>
    </w:p>
  </w:footnote>
  <w:footnote w:id="15">
    <w:p w:rsidR="009C7566" w:rsidRDefault="009C7566" w:rsidP="00F31102">
      <w:pPr>
        <w:pStyle w:val="FootnoteText"/>
      </w:pPr>
      <w:r>
        <w:rPr>
          <w:rStyle w:val="FootnoteReference"/>
        </w:rPr>
        <w:footnoteRef/>
      </w:r>
      <w:r>
        <w:t xml:space="preserve"> </w:t>
      </w:r>
      <w:proofErr w:type="spellStart"/>
      <w:r>
        <w:t>Congleton</w:t>
      </w:r>
      <w:proofErr w:type="spellEnd"/>
      <w:r>
        <w:t xml:space="preserve">, </w:t>
      </w:r>
      <w:proofErr w:type="spellStart"/>
      <w:proofErr w:type="gramStart"/>
      <w:r>
        <w:t>loc.cit</w:t>
      </w:r>
      <w:proofErr w:type="spellEnd"/>
      <w:proofErr w:type="gramEnd"/>
      <w:r>
        <w:t>.</w:t>
      </w:r>
    </w:p>
  </w:footnote>
  <w:footnote w:id="16">
    <w:p w:rsidR="009C7566" w:rsidRDefault="009C7566" w:rsidP="00F31102">
      <w:pPr>
        <w:pStyle w:val="FootnoteText"/>
      </w:pPr>
      <w:r>
        <w:rPr>
          <w:rStyle w:val="FootnoteReference"/>
        </w:rPr>
        <w:footnoteRef/>
      </w:r>
      <w:r>
        <w:t xml:space="preserve"> C. A. </w:t>
      </w:r>
      <w:proofErr w:type="spellStart"/>
      <w:r>
        <w:t>Bayly</w:t>
      </w:r>
      <w:proofErr w:type="spellEnd"/>
      <w:r>
        <w:t xml:space="preserve">, </w:t>
      </w:r>
      <w:proofErr w:type="spellStart"/>
      <w:r>
        <w:rPr>
          <w:i/>
        </w:rPr>
        <w:t>Indian</w:t>
      </w:r>
      <w:proofErr w:type="spellEnd"/>
      <w:r>
        <w:rPr>
          <w:i/>
        </w:rPr>
        <w:t xml:space="preserve"> </w:t>
      </w:r>
      <w:proofErr w:type="spellStart"/>
      <w:r>
        <w:rPr>
          <w:i/>
        </w:rPr>
        <w:t>Thought</w:t>
      </w:r>
      <w:proofErr w:type="spellEnd"/>
      <w:r>
        <w:rPr>
          <w:i/>
        </w:rPr>
        <w:t xml:space="preserve"> in </w:t>
      </w:r>
      <w:proofErr w:type="spellStart"/>
      <w:r>
        <w:rPr>
          <w:i/>
        </w:rPr>
        <w:t>the</w:t>
      </w:r>
      <w:proofErr w:type="spellEnd"/>
      <w:r>
        <w:rPr>
          <w:i/>
        </w:rPr>
        <w:t xml:space="preserve"> Age of </w:t>
      </w:r>
      <w:proofErr w:type="spellStart"/>
      <w:r>
        <w:rPr>
          <w:i/>
        </w:rPr>
        <w:t>Liberalism</w:t>
      </w:r>
      <w:proofErr w:type="spellEnd"/>
      <w:r>
        <w:rPr>
          <w:i/>
        </w:rPr>
        <w:t xml:space="preserve"> </w:t>
      </w:r>
      <w:proofErr w:type="spellStart"/>
      <w:r>
        <w:rPr>
          <w:i/>
        </w:rPr>
        <w:t>and</w:t>
      </w:r>
      <w:proofErr w:type="spellEnd"/>
      <w:r>
        <w:rPr>
          <w:i/>
        </w:rPr>
        <w:t xml:space="preserve"> </w:t>
      </w:r>
      <w:proofErr w:type="spellStart"/>
      <w:r>
        <w:rPr>
          <w:i/>
        </w:rPr>
        <w:t>Empire</w:t>
      </w:r>
      <w:proofErr w:type="spellEnd"/>
      <w:r>
        <w:t xml:space="preserve">, </w:t>
      </w:r>
      <w:proofErr w:type="spellStart"/>
      <w:r>
        <w:t>Newyork</w:t>
      </w:r>
      <w:proofErr w:type="spellEnd"/>
      <w:r>
        <w:t xml:space="preserve">, Cambridge </w:t>
      </w:r>
      <w:proofErr w:type="spellStart"/>
      <w:r>
        <w:t>University</w:t>
      </w:r>
      <w:proofErr w:type="spellEnd"/>
      <w:r>
        <w:t xml:space="preserve"> </w:t>
      </w:r>
      <w:proofErr w:type="spellStart"/>
      <w:r>
        <w:t>Press</w:t>
      </w:r>
      <w:proofErr w:type="spellEnd"/>
      <w:r>
        <w:t xml:space="preserve">, 2011, s.61 </w:t>
      </w:r>
    </w:p>
  </w:footnote>
  <w:footnote w:id="17">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18">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19">
    <w:p w:rsidR="009C7566" w:rsidRDefault="009C7566" w:rsidP="00F31102">
      <w:pPr>
        <w:pStyle w:val="FootnoteText"/>
      </w:pPr>
      <w:r>
        <w:rPr>
          <w:rStyle w:val="FootnoteReference"/>
        </w:rPr>
        <w:footnoteRef/>
      </w:r>
      <w:r>
        <w:t xml:space="preserve"> </w:t>
      </w:r>
      <w:proofErr w:type="spellStart"/>
      <w:r>
        <w:t>Rainer</w:t>
      </w:r>
      <w:proofErr w:type="spellEnd"/>
      <w:r>
        <w:t xml:space="preserve"> </w:t>
      </w:r>
      <w:proofErr w:type="spellStart"/>
      <w:r>
        <w:t>Forst</w:t>
      </w:r>
      <w:proofErr w:type="spellEnd"/>
      <w:r>
        <w:t xml:space="preserve">, </w:t>
      </w:r>
      <w:proofErr w:type="spellStart"/>
      <w:r>
        <w:rPr>
          <w:rFonts w:ascii="TimesNewRomanPSMT" w:hAnsi="TimesNewRomanPSMT" w:cs="TimesNewRomanPSMT"/>
          <w:i/>
        </w:rPr>
        <w:t>Kontexte</w:t>
      </w:r>
      <w:proofErr w:type="spellEnd"/>
      <w:r>
        <w:rPr>
          <w:rFonts w:ascii="TimesNewRomanPSMT" w:hAnsi="TimesNewRomanPSMT" w:cs="TimesNewRomanPSMT"/>
          <w:i/>
        </w:rPr>
        <w:t xml:space="preserve"> der </w:t>
      </w:r>
      <w:proofErr w:type="spellStart"/>
      <w:r>
        <w:rPr>
          <w:rFonts w:ascii="TimesNewRomanPSMT" w:hAnsi="TimesNewRomanPSMT" w:cs="TimesNewRomanPSMT"/>
          <w:i/>
        </w:rPr>
        <w:t>Gerechtigkeit</w:t>
      </w:r>
      <w:proofErr w:type="spellEnd"/>
      <w:r>
        <w:rPr>
          <w:rFonts w:ascii="TimesNewRomanPSMT" w:hAnsi="TimesNewRomanPSMT" w:cs="TimesNewRomanPSMT"/>
        </w:rPr>
        <w:t xml:space="preserve">, Frankfurt, </w:t>
      </w:r>
      <w:proofErr w:type="spellStart"/>
      <w:r>
        <w:rPr>
          <w:rFonts w:ascii="TimesNewRomanPSMT" w:hAnsi="TimesNewRomanPSMT" w:cs="TimesNewRomanPSMT"/>
        </w:rPr>
        <w:t>Suhrkamp</w:t>
      </w:r>
      <w:proofErr w:type="spellEnd"/>
      <w:r>
        <w:rPr>
          <w:rFonts w:ascii="TimesNewRomanPSMT" w:hAnsi="TimesNewRomanPSMT" w:cs="TimesNewRomanPSMT"/>
        </w:rPr>
        <w:t xml:space="preserve">, </w:t>
      </w:r>
      <w:r>
        <w:t xml:space="preserve">1994, s.56’dan aktaran Suna Güzin Kahraman, “Radikal Demokrasi ve Vatandaşlık: Liberal ve </w:t>
      </w:r>
      <w:proofErr w:type="spellStart"/>
      <w:r>
        <w:t>Komunitaryan</w:t>
      </w:r>
      <w:proofErr w:type="spellEnd"/>
      <w:r>
        <w:t xml:space="preserve"> Yaklaşımlarla Bir Karşılaştırma”, Yüksek Lisans Tezi, (Ankara Üniversitesi Sosyal Bilimler Enstitüsü Kamu Yönetimi ve Siyaset Bilimi Anabilim Dalı)</w:t>
      </w:r>
    </w:p>
    <w:p w:rsidR="009C7566" w:rsidRDefault="009C7566" w:rsidP="00F31102">
      <w:pPr>
        <w:pStyle w:val="FootnoteText"/>
      </w:pPr>
      <w:r>
        <w:t xml:space="preserve">Ankara, 2004, Ankara Üniversitesi Açık Erişim Sistemi Web Sitesi, </w:t>
      </w:r>
      <w:r>
        <w:rPr>
          <w:color w:val="000000"/>
          <w:u w:val="single"/>
          <w:shd w:val="clear" w:color="auto" w:fill="FFFFFF"/>
        </w:rPr>
        <w:t>acikarsiv.ankara.edu.tr/</w:t>
      </w:r>
      <w:proofErr w:type="spellStart"/>
      <w:r>
        <w:rPr>
          <w:color w:val="000000"/>
          <w:u w:val="single"/>
          <w:shd w:val="clear" w:color="auto" w:fill="FFFFFF"/>
        </w:rPr>
        <w:t>browse</w:t>
      </w:r>
      <w:proofErr w:type="spellEnd"/>
      <w:r>
        <w:rPr>
          <w:color w:val="000000"/>
          <w:u w:val="single"/>
          <w:shd w:val="clear" w:color="auto" w:fill="FFFFFF"/>
        </w:rPr>
        <w:t xml:space="preserve">/246/537.pdf, </w:t>
      </w:r>
      <w:r>
        <w:rPr>
          <w:color w:val="000000"/>
          <w:shd w:val="clear" w:color="auto" w:fill="FFFFFF"/>
        </w:rPr>
        <w:t>erişim tarihi: 14.02.2012</w:t>
      </w:r>
    </w:p>
  </w:footnote>
  <w:footnote w:id="20">
    <w:p w:rsidR="009C7566" w:rsidRDefault="009C7566" w:rsidP="00F31102">
      <w:pPr>
        <w:autoSpaceDE w:val="0"/>
        <w:autoSpaceDN w:val="0"/>
        <w:adjustRightInd w:val="0"/>
        <w:rPr>
          <w:sz w:val="20"/>
          <w:szCs w:val="20"/>
        </w:rPr>
      </w:pPr>
      <w:r>
        <w:rPr>
          <w:rStyle w:val="FootnoteReference"/>
          <w:sz w:val="20"/>
          <w:szCs w:val="20"/>
        </w:rPr>
        <w:footnoteRef/>
      </w:r>
      <w:r>
        <w:t xml:space="preserve"> </w:t>
      </w:r>
      <w:r>
        <w:rPr>
          <w:sz w:val="20"/>
          <w:szCs w:val="20"/>
        </w:rPr>
        <w:t xml:space="preserve">Alan </w:t>
      </w:r>
      <w:proofErr w:type="spellStart"/>
      <w:r>
        <w:rPr>
          <w:sz w:val="20"/>
          <w:szCs w:val="20"/>
        </w:rPr>
        <w:t>Ryan</w:t>
      </w:r>
      <w:proofErr w:type="spellEnd"/>
      <w:r>
        <w:rPr>
          <w:sz w:val="20"/>
          <w:szCs w:val="20"/>
        </w:rPr>
        <w:t xml:space="preserve">, </w:t>
      </w:r>
      <w:r>
        <w:rPr>
          <w:rFonts w:ascii="TimesNewRomanPSMT" w:hAnsi="TimesNewRomanPSMT" w:cs="TimesNewRomanPSMT"/>
          <w:sz w:val="20"/>
          <w:szCs w:val="20"/>
        </w:rPr>
        <w:t xml:space="preserve">“John </w:t>
      </w:r>
      <w:proofErr w:type="spellStart"/>
      <w:r>
        <w:rPr>
          <w:rFonts w:ascii="TimesNewRomanPSMT" w:hAnsi="TimesNewRomanPSMT" w:cs="TimesNewRomanPSMT"/>
          <w:sz w:val="20"/>
          <w:szCs w:val="20"/>
        </w:rPr>
        <w:t>Rawls</w:t>
      </w:r>
      <w:proofErr w:type="spellEnd"/>
      <w:r>
        <w:rPr>
          <w:rFonts w:ascii="TimesNewRomanPSMT" w:hAnsi="TimesNewRomanPSMT" w:cs="TimesNewRomanPSMT"/>
          <w:sz w:val="20"/>
          <w:szCs w:val="20"/>
        </w:rPr>
        <w:t xml:space="preserve">”, </w:t>
      </w:r>
      <w:r>
        <w:rPr>
          <w:rFonts w:ascii="TimesNewRomanPSMT" w:hAnsi="TimesNewRomanPSMT" w:cs="TimesNewRomanPSMT"/>
          <w:i/>
          <w:sz w:val="20"/>
          <w:szCs w:val="20"/>
        </w:rPr>
        <w:t>in</w:t>
      </w:r>
      <w:r>
        <w:rPr>
          <w:rFonts w:ascii="TimesNewRomanPSMT" w:hAnsi="TimesNewRomanPSMT" w:cs="TimesNewRomanPSMT"/>
          <w:sz w:val="20"/>
          <w:szCs w:val="20"/>
        </w:rPr>
        <w:t xml:space="preserve"> </w:t>
      </w:r>
      <w:proofErr w:type="spellStart"/>
      <w:r>
        <w:rPr>
          <w:bCs/>
          <w:sz w:val="20"/>
          <w:szCs w:val="20"/>
        </w:rPr>
        <w:t>Quentin</w:t>
      </w:r>
      <w:proofErr w:type="spellEnd"/>
      <w:r>
        <w:rPr>
          <w:bCs/>
          <w:sz w:val="20"/>
          <w:szCs w:val="20"/>
        </w:rPr>
        <w:t xml:space="preserve"> </w:t>
      </w:r>
      <w:proofErr w:type="spellStart"/>
      <w:r>
        <w:rPr>
          <w:bCs/>
          <w:sz w:val="20"/>
          <w:szCs w:val="20"/>
        </w:rPr>
        <w:t>Skinner</w:t>
      </w:r>
      <w:proofErr w:type="spellEnd"/>
      <w:r>
        <w:rPr>
          <w:bCs/>
          <w:sz w:val="20"/>
          <w:szCs w:val="20"/>
        </w:rPr>
        <w:t xml:space="preserve"> </w:t>
      </w:r>
      <w:r>
        <w:rPr>
          <w:sz w:val="20"/>
          <w:szCs w:val="20"/>
        </w:rPr>
        <w:t xml:space="preserve">(ed.), </w:t>
      </w:r>
      <w:r>
        <w:rPr>
          <w:bCs/>
          <w:i/>
          <w:sz w:val="20"/>
          <w:szCs w:val="20"/>
        </w:rPr>
        <w:t>Çağdaş Temel Kuramlar</w:t>
      </w:r>
      <w:r>
        <w:rPr>
          <w:sz w:val="20"/>
          <w:szCs w:val="20"/>
        </w:rPr>
        <w:t xml:space="preserve">, </w:t>
      </w:r>
      <w:proofErr w:type="gramStart"/>
      <w:r>
        <w:rPr>
          <w:sz w:val="20"/>
          <w:szCs w:val="20"/>
        </w:rPr>
        <w:t>(</w:t>
      </w:r>
      <w:proofErr w:type="gramEnd"/>
      <w:r>
        <w:rPr>
          <w:sz w:val="20"/>
          <w:szCs w:val="20"/>
        </w:rPr>
        <w:t>çev. Ahmet Demirhan</w:t>
      </w:r>
      <w:proofErr w:type="gramStart"/>
      <w:r>
        <w:rPr>
          <w:sz w:val="20"/>
          <w:szCs w:val="20"/>
        </w:rPr>
        <w:t>)</w:t>
      </w:r>
      <w:proofErr w:type="gramEnd"/>
      <w:r>
        <w:rPr>
          <w:sz w:val="20"/>
          <w:szCs w:val="20"/>
        </w:rPr>
        <w:t>, Ankara, Vadi Yay. s.132-155, 1997, s.136 vd.</w:t>
      </w:r>
    </w:p>
  </w:footnote>
  <w:footnote w:id="21">
    <w:p w:rsidR="009C7566" w:rsidRDefault="009C7566" w:rsidP="00F31102">
      <w:pPr>
        <w:pStyle w:val="FootnoteText"/>
      </w:pPr>
      <w:r>
        <w:rPr>
          <w:rStyle w:val="FootnoteReference"/>
        </w:rPr>
        <w:footnoteRef/>
      </w:r>
      <w:r>
        <w:t xml:space="preserve">  </w:t>
      </w:r>
      <w:proofErr w:type="spellStart"/>
      <w:r>
        <w:t>Erich</w:t>
      </w:r>
      <w:proofErr w:type="spellEnd"/>
      <w:r>
        <w:t xml:space="preserve"> </w:t>
      </w:r>
      <w:proofErr w:type="spellStart"/>
      <w:r>
        <w:t>Fromm</w:t>
      </w:r>
      <w:proofErr w:type="spellEnd"/>
      <w:r>
        <w:t>,</w:t>
      </w:r>
      <w:r>
        <w:rPr>
          <w:i/>
        </w:rPr>
        <w:t xml:space="preserve"> </w:t>
      </w:r>
      <w:proofErr w:type="spellStart"/>
      <w:r>
        <w:rPr>
          <w:i/>
        </w:rPr>
        <w:t>Marx’s</w:t>
      </w:r>
      <w:proofErr w:type="spellEnd"/>
      <w:r>
        <w:rPr>
          <w:i/>
        </w:rPr>
        <w:t xml:space="preserve"> </w:t>
      </w:r>
      <w:proofErr w:type="spellStart"/>
      <w:r>
        <w:rPr>
          <w:i/>
        </w:rPr>
        <w:t>Concept</w:t>
      </w:r>
      <w:proofErr w:type="spellEnd"/>
      <w:r>
        <w:rPr>
          <w:i/>
        </w:rPr>
        <w:t xml:space="preserve"> of Man</w:t>
      </w:r>
      <w:r>
        <w:t xml:space="preserve">, </w:t>
      </w:r>
      <w:proofErr w:type="spellStart"/>
      <w:r>
        <w:t>Continium</w:t>
      </w:r>
      <w:proofErr w:type="spellEnd"/>
      <w:r>
        <w:t>, 2004, s.49</w:t>
      </w:r>
    </w:p>
  </w:footnote>
  <w:footnote w:id="22">
    <w:p w:rsidR="009C7566" w:rsidRDefault="009C7566" w:rsidP="00F31102">
      <w:pPr>
        <w:pStyle w:val="FootnoteText"/>
      </w:pPr>
      <w:r>
        <w:rPr>
          <w:rStyle w:val="FootnoteReference"/>
        </w:rPr>
        <w:footnoteRef/>
      </w:r>
      <w:r>
        <w:t xml:space="preserve"> Karl </w:t>
      </w:r>
      <w:proofErr w:type="spellStart"/>
      <w:r>
        <w:t>Marx</w:t>
      </w:r>
      <w:proofErr w:type="spellEnd"/>
      <w:r>
        <w:t xml:space="preserve">, </w:t>
      </w:r>
      <w:proofErr w:type="spellStart"/>
      <w:r>
        <w:rPr>
          <w:i/>
        </w:rPr>
        <w:t>Selected</w:t>
      </w:r>
      <w:proofErr w:type="spellEnd"/>
      <w:r>
        <w:rPr>
          <w:i/>
        </w:rPr>
        <w:t xml:space="preserve"> </w:t>
      </w:r>
      <w:proofErr w:type="spellStart"/>
      <w:r>
        <w:rPr>
          <w:i/>
        </w:rPr>
        <w:t>Essays</w:t>
      </w:r>
      <w:proofErr w:type="spellEnd"/>
      <w:r>
        <w:t xml:space="preserve">, </w:t>
      </w:r>
      <w:proofErr w:type="spellStart"/>
      <w:r>
        <w:t>Translated</w:t>
      </w:r>
      <w:proofErr w:type="spellEnd"/>
      <w:r>
        <w:t xml:space="preserve"> </w:t>
      </w:r>
      <w:proofErr w:type="spellStart"/>
      <w:r>
        <w:t>by</w:t>
      </w:r>
      <w:proofErr w:type="spellEnd"/>
      <w:r>
        <w:t xml:space="preserve"> H. J. </w:t>
      </w:r>
      <w:proofErr w:type="spellStart"/>
      <w:r>
        <w:t>Stenning</w:t>
      </w:r>
      <w:proofErr w:type="spellEnd"/>
      <w:r>
        <w:t xml:space="preserve">, </w:t>
      </w:r>
      <w:proofErr w:type="spellStart"/>
      <w:r>
        <w:t>Serenity</w:t>
      </w:r>
      <w:proofErr w:type="spellEnd"/>
      <w:r>
        <w:t xml:space="preserve"> </w:t>
      </w:r>
      <w:proofErr w:type="spellStart"/>
      <w:r>
        <w:t>Publishers</w:t>
      </w:r>
      <w:proofErr w:type="spellEnd"/>
      <w:r>
        <w:t>, 2008, s.78</w:t>
      </w:r>
    </w:p>
  </w:footnote>
  <w:footnote w:id="23">
    <w:p w:rsidR="009C7566" w:rsidRDefault="009C7566" w:rsidP="00F31102">
      <w:pPr>
        <w:pStyle w:val="FootnoteText"/>
      </w:pPr>
      <w:r>
        <w:rPr>
          <w:rStyle w:val="FootnoteReference"/>
        </w:rPr>
        <w:footnoteRef/>
      </w:r>
      <w:r>
        <w:t xml:space="preserve"> Friedrich Engels, </w:t>
      </w:r>
      <w:proofErr w:type="spellStart"/>
      <w:r>
        <w:rPr>
          <w:i/>
        </w:rPr>
        <w:t>Socialism</w:t>
      </w:r>
      <w:proofErr w:type="spellEnd"/>
      <w:r>
        <w:rPr>
          <w:i/>
        </w:rPr>
        <w:t xml:space="preserve">: </w:t>
      </w:r>
      <w:proofErr w:type="spellStart"/>
      <w:r>
        <w:rPr>
          <w:i/>
        </w:rPr>
        <w:t>Utopian</w:t>
      </w:r>
      <w:proofErr w:type="spellEnd"/>
      <w:r>
        <w:rPr>
          <w:i/>
        </w:rPr>
        <w:t xml:space="preserve"> </w:t>
      </w:r>
      <w:proofErr w:type="spellStart"/>
      <w:r>
        <w:rPr>
          <w:i/>
        </w:rPr>
        <w:t>and</w:t>
      </w:r>
      <w:proofErr w:type="spellEnd"/>
      <w:r>
        <w:rPr>
          <w:i/>
        </w:rPr>
        <w:t xml:space="preserve"> </w:t>
      </w:r>
      <w:proofErr w:type="spellStart"/>
      <w:r>
        <w:rPr>
          <w:i/>
        </w:rPr>
        <w:t>Scientific</w:t>
      </w:r>
      <w:proofErr w:type="spellEnd"/>
      <w:r>
        <w:t xml:space="preserve">, </w:t>
      </w:r>
      <w:proofErr w:type="spellStart"/>
      <w:r>
        <w:t>Translated</w:t>
      </w:r>
      <w:proofErr w:type="spellEnd"/>
      <w:r>
        <w:t xml:space="preserve"> </w:t>
      </w:r>
      <w:proofErr w:type="spellStart"/>
      <w:r>
        <w:t>by</w:t>
      </w:r>
      <w:proofErr w:type="spellEnd"/>
      <w:r>
        <w:t xml:space="preserve"> Edward </w:t>
      </w:r>
      <w:proofErr w:type="spellStart"/>
      <w:r>
        <w:t>Aveling</w:t>
      </w:r>
      <w:proofErr w:type="spellEnd"/>
      <w:r>
        <w:t xml:space="preserve">, </w:t>
      </w:r>
      <w:proofErr w:type="spellStart"/>
      <w:r>
        <w:t>Newyork</w:t>
      </w:r>
      <w:proofErr w:type="spellEnd"/>
      <w:r>
        <w:t xml:space="preserve">, </w:t>
      </w:r>
      <w:proofErr w:type="spellStart"/>
      <w:r>
        <w:t>Cosimo</w:t>
      </w:r>
      <w:proofErr w:type="spellEnd"/>
      <w:r>
        <w:t xml:space="preserve"> Publishing, 2008, s.31</w:t>
      </w:r>
    </w:p>
  </w:footnote>
  <w:footnote w:id="24">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25">
    <w:p w:rsidR="009C7566" w:rsidRDefault="009C7566" w:rsidP="00F31102">
      <w:pPr>
        <w:pStyle w:val="FootnoteText"/>
      </w:pPr>
      <w:r>
        <w:rPr>
          <w:rStyle w:val="FootnoteReference"/>
        </w:rPr>
        <w:footnoteRef/>
      </w:r>
      <w:r>
        <w:t xml:space="preserve"> Paul Q. </w:t>
      </w:r>
      <w:proofErr w:type="spellStart"/>
      <w:r>
        <w:t>Hirst</w:t>
      </w:r>
      <w:proofErr w:type="spellEnd"/>
      <w:r>
        <w:t xml:space="preserve">, </w:t>
      </w:r>
      <w:proofErr w:type="spellStart"/>
      <w:r>
        <w:rPr>
          <w:i/>
        </w:rPr>
        <w:t>Law</w:t>
      </w:r>
      <w:proofErr w:type="spellEnd"/>
      <w:r>
        <w:rPr>
          <w:i/>
        </w:rPr>
        <w:t xml:space="preserve">, </w:t>
      </w:r>
      <w:proofErr w:type="spellStart"/>
      <w:r>
        <w:rPr>
          <w:i/>
        </w:rPr>
        <w:t>Socialism</w:t>
      </w:r>
      <w:proofErr w:type="spellEnd"/>
      <w:r>
        <w:rPr>
          <w:i/>
        </w:rPr>
        <w:t xml:space="preserve">, </w:t>
      </w:r>
      <w:proofErr w:type="spellStart"/>
      <w:r>
        <w:rPr>
          <w:i/>
        </w:rPr>
        <w:t>and</w:t>
      </w:r>
      <w:proofErr w:type="spellEnd"/>
      <w:r>
        <w:rPr>
          <w:i/>
        </w:rPr>
        <w:t xml:space="preserve"> </w:t>
      </w:r>
      <w:proofErr w:type="spellStart"/>
      <w:r>
        <w:rPr>
          <w:i/>
        </w:rPr>
        <w:t>Democracy</w:t>
      </w:r>
      <w:proofErr w:type="spellEnd"/>
      <w:r>
        <w:t xml:space="preserve">, </w:t>
      </w:r>
      <w:proofErr w:type="spellStart"/>
      <w:r>
        <w:t>London</w:t>
      </w:r>
      <w:proofErr w:type="spellEnd"/>
      <w:r>
        <w:t xml:space="preserve">, </w:t>
      </w:r>
      <w:proofErr w:type="spellStart"/>
      <w:r>
        <w:t>Allen</w:t>
      </w:r>
      <w:proofErr w:type="spellEnd"/>
      <w:r>
        <w:t xml:space="preserve"> &amp; </w:t>
      </w:r>
      <w:proofErr w:type="spellStart"/>
      <w:r>
        <w:t>Unwin</w:t>
      </w:r>
      <w:proofErr w:type="spellEnd"/>
      <w:r>
        <w:t>, 1986, s.36</w:t>
      </w:r>
    </w:p>
  </w:footnote>
  <w:footnote w:id="26">
    <w:p w:rsidR="009C7566" w:rsidRDefault="009C7566" w:rsidP="00F31102">
      <w:pPr>
        <w:pStyle w:val="FootnoteText"/>
      </w:pPr>
      <w:r>
        <w:rPr>
          <w:rStyle w:val="FootnoteReference"/>
        </w:rPr>
        <w:footnoteRef/>
      </w:r>
      <w:r>
        <w:t xml:space="preserve"> Peter Bernard Haris, </w:t>
      </w:r>
      <w:proofErr w:type="spellStart"/>
      <w:r>
        <w:rPr>
          <w:i/>
        </w:rPr>
        <w:t>Political</w:t>
      </w:r>
      <w:proofErr w:type="spellEnd"/>
      <w:r>
        <w:rPr>
          <w:i/>
        </w:rPr>
        <w:t xml:space="preserve"> </w:t>
      </w:r>
      <w:proofErr w:type="spellStart"/>
      <w:r>
        <w:rPr>
          <w:i/>
        </w:rPr>
        <w:t>China</w:t>
      </w:r>
      <w:proofErr w:type="spellEnd"/>
      <w:r>
        <w:rPr>
          <w:i/>
        </w:rPr>
        <w:t xml:space="preserve"> </w:t>
      </w:r>
      <w:proofErr w:type="spellStart"/>
      <w:r>
        <w:rPr>
          <w:i/>
        </w:rPr>
        <w:t>Observed</w:t>
      </w:r>
      <w:proofErr w:type="spellEnd"/>
      <w:r>
        <w:rPr>
          <w:i/>
        </w:rPr>
        <w:t xml:space="preserve">: a Western </w:t>
      </w:r>
      <w:proofErr w:type="spellStart"/>
      <w:r>
        <w:rPr>
          <w:i/>
        </w:rPr>
        <w:t>Perspective</w:t>
      </w:r>
      <w:proofErr w:type="spellEnd"/>
      <w:r>
        <w:t xml:space="preserve">, </w:t>
      </w:r>
      <w:proofErr w:type="spellStart"/>
      <w:r>
        <w:t>London</w:t>
      </w:r>
      <w:proofErr w:type="spellEnd"/>
      <w:r>
        <w:t>, Taylor &amp; Francis, 1980, s.109</w:t>
      </w:r>
    </w:p>
  </w:footnote>
  <w:footnote w:id="27">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28">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29">
    <w:p w:rsidR="009C7566" w:rsidRDefault="009C7566" w:rsidP="00F31102">
      <w:pPr>
        <w:pStyle w:val="FootnoteText"/>
      </w:pPr>
      <w:r>
        <w:rPr>
          <w:rStyle w:val="FootnoteReference"/>
        </w:rPr>
        <w:footnoteRef/>
      </w:r>
      <w:r>
        <w:t xml:space="preserve"> </w:t>
      </w:r>
      <w:proofErr w:type="spellStart"/>
      <w:r>
        <w:t>Hirst</w:t>
      </w:r>
      <w:proofErr w:type="spellEnd"/>
      <w:r>
        <w:t xml:space="preserve">, </w:t>
      </w:r>
      <w:proofErr w:type="spellStart"/>
      <w:r>
        <w:rPr>
          <w:i/>
        </w:rPr>
        <w:t>Law</w:t>
      </w:r>
      <w:proofErr w:type="spellEnd"/>
      <w:r>
        <w:rPr>
          <w:i/>
        </w:rPr>
        <w:t xml:space="preserve">, </w:t>
      </w:r>
      <w:proofErr w:type="spellStart"/>
      <w:r>
        <w:rPr>
          <w:i/>
        </w:rPr>
        <w:t>Socialism</w:t>
      </w:r>
      <w:proofErr w:type="spellEnd"/>
      <w:r>
        <w:rPr>
          <w:i/>
        </w:rPr>
        <w:t xml:space="preserve">, </w:t>
      </w:r>
      <w:proofErr w:type="spellStart"/>
      <w:r>
        <w:rPr>
          <w:i/>
        </w:rPr>
        <w:t>and</w:t>
      </w:r>
      <w:proofErr w:type="spellEnd"/>
      <w:r>
        <w:rPr>
          <w:i/>
        </w:rPr>
        <w:t xml:space="preserve"> </w:t>
      </w:r>
      <w:proofErr w:type="spellStart"/>
      <w:r>
        <w:rPr>
          <w:i/>
        </w:rPr>
        <w:t>Democracy</w:t>
      </w:r>
      <w:proofErr w:type="spellEnd"/>
      <w:r>
        <w:t xml:space="preserve">, </w:t>
      </w:r>
      <w:proofErr w:type="spellStart"/>
      <w:r>
        <w:rPr>
          <w:i/>
        </w:rPr>
        <w:t>op.cit</w:t>
      </w:r>
      <w:proofErr w:type="spellEnd"/>
      <w:proofErr w:type="gramStart"/>
      <w:r>
        <w:rPr>
          <w:i/>
        </w:rPr>
        <w:t>.</w:t>
      </w:r>
      <w:r>
        <w:t>,</w:t>
      </w:r>
      <w:proofErr w:type="gramEnd"/>
      <w:r>
        <w:t xml:space="preserve"> s.86-87</w:t>
      </w:r>
    </w:p>
  </w:footnote>
  <w:footnote w:id="30">
    <w:p w:rsidR="009C7566" w:rsidRDefault="009C7566" w:rsidP="00F31102">
      <w:pPr>
        <w:pStyle w:val="FootnoteText"/>
      </w:pPr>
      <w:r>
        <w:rPr>
          <w:rStyle w:val="FootnoteReference"/>
        </w:rPr>
        <w:footnoteRef/>
      </w:r>
      <w:r>
        <w:t xml:space="preserve"> </w:t>
      </w:r>
      <w:proofErr w:type="spellStart"/>
      <w:r>
        <w:rPr>
          <w:i/>
        </w:rPr>
        <w:t>Ibid</w:t>
      </w:r>
      <w:proofErr w:type="spellEnd"/>
      <w:proofErr w:type="gramStart"/>
      <w:r>
        <w:rPr>
          <w:i/>
        </w:rPr>
        <w:t>.</w:t>
      </w:r>
      <w:r>
        <w:t>,</w:t>
      </w:r>
      <w:proofErr w:type="gramEnd"/>
      <w:r>
        <w:t xml:space="preserve"> s.87</w:t>
      </w:r>
    </w:p>
  </w:footnote>
  <w:footnote w:id="31">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32">
    <w:p w:rsidR="009C7566" w:rsidRDefault="009C7566" w:rsidP="00F31102">
      <w:pPr>
        <w:pStyle w:val="FootnoteText"/>
      </w:pPr>
      <w:r>
        <w:rPr>
          <w:rStyle w:val="FootnoteReference"/>
        </w:rPr>
        <w:footnoteRef/>
      </w:r>
      <w:r>
        <w:t xml:space="preserve"> </w:t>
      </w:r>
      <w:proofErr w:type="spellStart"/>
      <w:r>
        <w:t>Aryeh</w:t>
      </w:r>
      <w:proofErr w:type="spellEnd"/>
      <w:r>
        <w:t xml:space="preserve"> L. </w:t>
      </w:r>
      <w:proofErr w:type="spellStart"/>
      <w:r>
        <w:t>Unger</w:t>
      </w:r>
      <w:proofErr w:type="spellEnd"/>
      <w:r>
        <w:t xml:space="preserve">, </w:t>
      </w:r>
      <w:r>
        <w:rPr>
          <w:i/>
        </w:rPr>
        <w:t xml:space="preserve">Constitutional Development in </w:t>
      </w:r>
      <w:proofErr w:type="spellStart"/>
      <w:r>
        <w:rPr>
          <w:i/>
        </w:rPr>
        <w:t>the</w:t>
      </w:r>
      <w:proofErr w:type="spellEnd"/>
      <w:r>
        <w:rPr>
          <w:i/>
        </w:rPr>
        <w:t xml:space="preserve"> USSR: A Guide </w:t>
      </w:r>
      <w:proofErr w:type="spellStart"/>
      <w:r>
        <w:rPr>
          <w:i/>
        </w:rPr>
        <w:t>to</w:t>
      </w:r>
      <w:proofErr w:type="spellEnd"/>
      <w:r>
        <w:rPr>
          <w:i/>
        </w:rPr>
        <w:t xml:space="preserve"> </w:t>
      </w:r>
      <w:proofErr w:type="spellStart"/>
      <w:r>
        <w:rPr>
          <w:i/>
        </w:rPr>
        <w:t>the</w:t>
      </w:r>
      <w:proofErr w:type="spellEnd"/>
      <w:r>
        <w:rPr>
          <w:i/>
        </w:rPr>
        <w:t xml:space="preserve"> </w:t>
      </w:r>
      <w:proofErr w:type="spellStart"/>
      <w:r>
        <w:rPr>
          <w:i/>
        </w:rPr>
        <w:t>Soviet</w:t>
      </w:r>
      <w:proofErr w:type="spellEnd"/>
      <w:r>
        <w:rPr>
          <w:i/>
        </w:rPr>
        <w:t xml:space="preserve"> </w:t>
      </w:r>
      <w:proofErr w:type="spellStart"/>
      <w:r>
        <w:rPr>
          <w:i/>
        </w:rPr>
        <w:t>Constitutions</w:t>
      </w:r>
      <w:proofErr w:type="spellEnd"/>
      <w:r>
        <w:t xml:space="preserve">, </w:t>
      </w:r>
      <w:proofErr w:type="spellStart"/>
      <w:r>
        <w:t>London</w:t>
      </w:r>
      <w:proofErr w:type="spellEnd"/>
      <w:r>
        <w:t>, Taylor&amp;Francis, 1981, s.1</w:t>
      </w:r>
    </w:p>
  </w:footnote>
  <w:footnote w:id="33">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34">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35">
    <w:p w:rsidR="009C7566" w:rsidRPr="00F31102" w:rsidRDefault="009C7566" w:rsidP="00F31102">
      <w:pPr>
        <w:rPr>
          <w:sz w:val="20"/>
          <w:szCs w:val="20"/>
        </w:rPr>
      </w:pPr>
      <w:r w:rsidRPr="00F31102">
        <w:rPr>
          <w:rStyle w:val="FootnoteReference"/>
          <w:sz w:val="20"/>
          <w:szCs w:val="20"/>
        </w:rPr>
        <w:footnoteRef/>
      </w:r>
      <w:r>
        <w:t xml:space="preserve"> </w:t>
      </w:r>
      <w:r w:rsidRPr="00F31102">
        <w:rPr>
          <w:sz w:val="20"/>
          <w:szCs w:val="20"/>
        </w:rPr>
        <w:t xml:space="preserve">İbrahim Kaboğlu, </w:t>
      </w:r>
      <w:r w:rsidRPr="00F31102">
        <w:rPr>
          <w:i/>
          <w:sz w:val="20"/>
          <w:szCs w:val="20"/>
        </w:rPr>
        <w:t>Anayasa Hukuku Dersleri (Genel Esaslar)</w:t>
      </w:r>
      <w:r w:rsidRPr="00F31102">
        <w:rPr>
          <w:sz w:val="20"/>
          <w:szCs w:val="20"/>
        </w:rPr>
        <w:t>, İstanbul, Legal Kitabevi, 2010, s.7</w:t>
      </w:r>
    </w:p>
  </w:footnote>
  <w:footnote w:id="36">
    <w:p w:rsidR="009C7566" w:rsidRDefault="009C7566" w:rsidP="00F31102">
      <w:pPr>
        <w:pStyle w:val="FootnoteText"/>
      </w:pPr>
      <w:r>
        <w:rPr>
          <w:rStyle w:val="FootnoteReference"/>
        </w:rPr>
        <w:footnoteRef/>
      </w:r>
      <w:r>
        <w:t xml:space="preserve"> 1980’e kadar yapılmış, Arnavutluk, Çin, Küba, Doğu Almanya ve Moğolistan’ın da aralarında bulunduğu sosyalist ülke anayasaların tam metinleri için bkz: </w:t>
      </w:r>
      <w:proofErr w:type="spellStart"/>
      <w:r>
        <w:rPr>
          <w:i/>
        </w:rPr>
        <w:t>The</w:t>
      </w:r>
      <w:proofErr w:type="spellEnd"/>
      <w:r>
        <w:rPr>
          <w:i/>
        </w:rPr>
        <w:t xml:space="preserve"> </w:t>
      </w:r>
      <w:proofErr w:type="spellStart"/>
      <w:r>
        <w:rPr>
          <w:i/>
        </w:rPr>
        <w:t>Constitutions</w:t>
      </w:r>
      <w:proofErr w:type="spellEnd"/>
      <w:r>
        <w:rPr>
          <w:i/>
        </w:rPr>
        <w:t xml:space="preserve"> of </w:t>
      </w:r>
      <w:proofErr w:type="spellStart"/>
      <w:r>
        <w:rPr>
          <w:i/>
        </w:rPr>
        <w:t>the</w:t>
      </w:r>
      <w:proofErr w:type="spellEnd"/>
      <w:r>
        <w:rPr>
          <w:i/>
        </w:rPr>
        <w:t xml:space="preserve"> </w:t>
      </w:r>
      <w:proofErr w:type="spellStart"/>
      <w:r>
        <w:rPr>
          <w:i/>
        </w:rPr>
        <w:t>Communist</w:t>
      </w:r>
      <w:proofErr w:type="spellEnd"/>
      <w:r>
        <w:rPr>
          <w:i/>
        </w:rPr>
        <w:t xml:space="preserve"> World</w:t>
      </w:r>
      <w:r>
        <w:t xml:space="preserve">, </w:t>
      </w:r>
      <w:proofErr w:type="spellStart"/>
      <w:r>
        <w:t>Alphen</w:t>
      </w:r>
      <w:proofErr w:type="spellEnd"/>
      <w:r>
        <w:t xml:space="preserve"> </w:t>
      </w:r>
      <w:proofErr w:type="spellStart"/>
      <w:r>
        <w:t>aan</w:t>
      </w:r>
      <w:proofErr w:type="spellEnd"/>
      <w:r>
        <w:t xml:space="preserve"> den </w:t>
      </w:r>
      <w:proofErr w:type="spellStart"/>
      <w:r>
        <w:t>Rijn</w:t>
      </w:r>
      <w:proofErr w:type="spellEnd"/>
      <w:r>
        <w:t xml:space="preserve">, </w:t>
      </w:r>
      <w:proofErr w:type="spellStart"/>
      <w:r>
        <w:t>Sijthoff</w:t>
      </w:r>
      <w:proofErr w:type="spellEnd"/>
      <w:r>
        <w:t xml:space="preserve"> &amp; </w:t>
      </w:r>
      <w:proofErr w:type="spellStart"/>
      <w:r>
        <w:t>Noordhoff</w:t>
      </w:r>
      <w:proofErr w:type="spellEnd"/>
      <w:r>
        <w:t xml:space="preserve"> International </w:t>
      </w:r>
      <w:proofErr w:type="spellStart"/>
      <w:r>
        <w:t>Publishers</w:t>
      </w:r>
      <w:proofErr w:type="spellEnd"/>
      <w:r>
        <w:t>, 1980, 644 s.</w:t>
      </w:r>
    </w:p>
  </w:footnote>
  <w:footnote w:id="37">
    <w:p w:rsidR="009C7566" w:rsidRDefault="009C7566" w:rsidP="00F31102">
      <w:pPr>
        <w:pStyle w:val="FootnoteText"/>
      </w:pPr>
      <w:r>
        <w:rPr>
          <w:rStyle w:val="FootnoteReference"/>
        </w:rPr>
        <w:footnoteRef/>
      </w:r>
      <w:r>
        <w:t xml:space="preserve"> Kaboğlu, </w:t>
      </w:r>
      <w:proofErr w:type="spellStart"/>
      <w:r>
        <w:rPr>
          <w:i/>
        </w:rPr>
        <w:t>op.cit</w:t>
      </w:r>
      <w:proofErr w:type="spellEnd"/>
      <w:proofErr w:type="gramStart"/>
      <w:r>
        <w:rPr>
          <w:i/>
        </w:rPr>
        <w:t>.</w:t>
      </w:r>
      <w:r>
        <w:t>,</w:t>
      </w:r>
      <w:proofErr w:type="gramEnd"/>
      <w:r>
        <w:t xml:space="preserve"> s.7-8</w:t>
      </w:r>
    </w:p>
  </w:footnote>
  <w:footnote w:id="38">
    <w:p w:rsidR="009C7566" w:rsidRDefault="009C7566" w:rsidP="00F31102">
      <w:pPr>
        <w:pStyle w:val="FootnoteText"/>
      </w:pPr>
      <w:r>
        <w:rPr>
          <w:rStyle w:val="FootnoteReference"/>
        </w:rPr>
        <w:footnoteRef/>
      </w:r>
      <w:r>
        <w:t xml:space="preserve"> </w:t>
      </w:r>
      <w:proofErr w:type="spellStart"/>
      <w:r>
        <w:t>Unger</w:t>
      </w:r>
      <w:proofErr w:type="spellEnd"/>
      <w:r>
        <w:t xml:space="preserve">, </w:t>
      </w:r>
      <w:r>
        <w:rPr>
          <w:i/>
        </w:rPr>
        <w:t xml:space="preserve">Constitutional Development in </w:t>
      </w:r>
      <w:proofErr w:type="spellStart"/>
      <w:r>
        <w:rPr>
          <w:i/>
        </w:rPr>
        <w:t>the</w:t>
      </w:r>
      <w:proofErr w:type="spellEnd"/>
      <w:r>
        <w:rPr>
          <w:i/>
        </w:rPr>
        <w:t xml:space="preserve"> USSR</w:t>
      </w:r>
      <w:r>
        <w:t xml:space="preserve">, </w:t>
      </w:r>
      <w:proofErr w:type="spellStart"/>
      <w:r>
        <w:rPr>
          <w:i/>
        </w:rPr>
        <w:t>op.cit</w:t>
      </w:r>
      <w:proofErr w:type="spellEnd"/>
      <w:proofErr w:type="gramStart"/>
      <w:r>
        <w:rPr>
          <w:i/>
        </w:rPr>
        <w:t>.</w:t>
      </w:r>
      <w:r>
        <w:t>,</w:t>
      </w:r>
      <w:proofErr w:type="gramEnd"/>
      <w:r>
        <w:t xml:space="preserve"> s.288</w:t>
      </w:r>
    </w:p>
  </w:footnote>
  <w:footnote w:id="39">
    <w:p w:rsidR="009C7566" w:rsidRDefault="009C7566" w:rsidP="00F31102">
      <w:pPr>
        <w:pStyle w:val="FootnoteText"/>
      </w:pPr>
      <w:r>
        <w:rPr>
          <w:rStyle w:val="FootnoteReference"/>
        </w:rPr>
        <w:footnoteRef/>
      </w:r>
      <w:r>
        <w:t xml:space="preserve"> Kaboğlu, </w:t>
      </w:r>
      <w:proofErr w:type="spellStart"/>
      <w:r>
        <w:rPr>
          <w:i/>
        </w:rPr>
        <w:t>op.cit</w:t>
      </w:r>
      <w:proofErr w:type="spellEnd"/>
      <w:proofErr w:type="gramStart"/>
      <w:r>
        <w:rPr>
          <w:i/>
        </w:rPr>
        <w:t>.</w:t>
      </w:r>
      <w:r>
        <w:t>,</w:t>
      </w:r>
      <w:proofErr w:type="gramEnd"/>
      <w:r>
        <w:t xml:space="preserve"> s.8</w:t>
      </w:r>
    </w:p>
  </w:footnote>
  <w:footnote w:id="40">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41">
    <w:p w:rsidR="009C7566" w:rsidRDefault="009C7566" w:rsidP="00F31102">
      <w:pPr>
        <w:pStyle w:val="FootnoteText"/>
      </w:pPr>
      <w:r>
        <w:rPr>
          <w:rStyle w:val="FootnoteReference"/>
        </w:rPr>
        <w:footnoteRef/>
      </w:r>
      <w:r>
        <w:t xml:space="preserve"> Bin </w:t>
      </w:r>
      <w:proofErr w:type="spellStart"/>
      <w:r>
        <w:t>Liang</w:t>
      </w:r>
      <w:proofErr w:type="spellEnd"/>
      <w:r>
        <w:t xml:space="preserve">, </w:t>
      </w:r>
      <w:proofErr w:type="spellStart"/>
      <w:r>
        <w:rPr>
          <w:i/>
        </w:rPr>
        <w:t>The</w:t>
      </w:r>
      <w:proofErr w:type="spellEnd"/>
      <w:r>
        <w:rPr>
          <w:i/>
        </w:rPr>
        <w:t xml:space="preserve"> </w:t>
      </w:r>
      <w:proofErr w:type="spellStart"/>
      <w:r>
        <w:rPr>
          <w:i/>
        </w:rPr>
        <w:t>Changing</w:t>
      </w:r>
      <w:proofErr w:type="spellEnd"/>
      <w:r>
        <w:rPr>
          <w:i/>
        </w:rPr>
        <w:t xml:space="preserve"> </w:t>
      </w:r>
      <w:proofErr w:type="spellStart"/>
      <w:r>
        <w:rPr>
          <w:i/>
        </w:rPr>
        <w:t>Chinese</w:t>
      </w:r>
      <w:proofErr w:type="spellEnd"/>
      <w:r>
        <w:rPr>
          <w:i/>
        </w:rPr>
        <w:t xml:space="preserve"> Legal </w:t>
      </w:r>
      <w:proofErr w:type="spellStart"/>
      <w:r>
        <w:rPr>
          <w:i/>
        </w:rPr>
        <w:t>System</w:t>
      </w:r>
      <w:proofErr w:type="spellEnd"/>
      <w:r>
        <w:rPr>
          <w:i/>
        </w:rPr>
        <w:t xml:space="preserve"> 1978-Present: </w:t>
      </w:r>
      <w:proofErr w:type="spellStart"/>
      <w:r>
        <w:rPr>
          <w:i/>
        </w:rPr>
        <w:t>Centralization</w:t>
      </w:r>
      <w:proofErr w:type="spellEnd"/>
      <w:r>
        <w:rPr>
          <w:i/>
        </w:rPr>
        <w:t xml:space="preserve"> of </w:t>
      </w:r>
      <w:proofErr w:type="spellStart"/>
      <w:r>
        <w:rPr>
          <w:i/>
        </w:rPr>
        <w:t>Power</w:t>
      </w:r>
      <w:proofErr w:type="spellEnd"/>
      <w:r>
        <w:rPr>
          <w:i/>
        </w:rPr>
        <w:t xml:space="preserve"> </w:t>
      </w:r>
      <w:proofErr w:type="spellStart"/>
      <w:r>
        <w:rPr>
          <w:i/>
        </w:rPr>
        <w:t>and</w:t>
      </w:r>
      <w:proofErr w:type="spellEnd"/>
      <w:r>
        <w:rPr>
          <w:i/>
        </w:rPr>
        <w:t xml:space="preserve"> </w:t>
      </w:r>
      <w:proofErr w:type="spellStart"/>
      <w:r>
        <w:rPr>
          <w:i/>
        </w:rPr>
        <w:t>Rationalization</w:t>
      </w:r>
      <w:proofErr w:type="spellEnd"/>
      <w:r>
        <w:rPr>
          <w:i/>
        </w:rPr>
        <w:t xml:space="preserve"> of </w:t>
      </w:r>
      <w:proofErr w:type="spellStart"/>
      <w:r>
        <w:rPr>
          <w:i/>
        </w:rPr>
        <w:t>the</w:t>
      </w:r>
      <w:proofErr w:type="spellEnd"/>
      <w:r>
        <w:rPr>
          <w:i/>
        </w:rPr>
        <w:t xml:space="preserve"> Legal </w:t>
      </w:r>
      <w:proofErr w:type="spellStart"/>
      <w:r>
        <w:rPr>
          <w:i/>
        </w:rPr>
        <w:t>System</w:t>
      </w:r>
      <w:proofErr w:type="spellEnd"/>
      <w:r>
        <w:t xml:space="preserve">, New York, </w:t>
      </w:r>
      <w:proofErr w:type="spellStart"/>
      <w:r>
        <w:t>Routledge</w:t>
      </w:r>
      <w:proofErr w:type="spellEnd"/>
      <w:r>
        <w:t xml:space="preserve"> Taylor&amp;Francis, 2008, s.45</w:t>
      </w:r>
    </w:p>
  </w:footnote>
  <w:footnote w:id="42">
    <w:p w:rsidR="009C7566" w:rsidRDefault="009C7566" w:rsidP="00F31102">
      <w:pPr>
        <w:pStyle w:val="FootnoteText"/>
      </w:pPr>
      <w:r>
        <w:rPr>
          <w:rStyle w:val="FootnoteReference"/>
        </w:rPr>
        <w:footnoteRef/>
      </w:r>
      <w:r>
        <w:t xml:space="preserve"> Robert </w:t>
      </w:r>
      <w:proofErr w:type="spellStart"/>
      <w:r>
        <w:t>Nisbet</w:t>
      </w:r>
      <w:proofErr w:type="spellEnd"/>
      <w:r>
        <w:t xml:space="preserve">, </w:t>
      </w:r>
      <w:proofErr w:type="spellStart"/>
      <w:r>
        <w:rPr>
          <w:i/>
        </w:rPr>
        <w:t>Conservatism</w:t>
      </w:r>
      <w:proofErr w:type="spellEnd"/>
      <w:r>
        <w:rPr>
          <w:i/>
        </w:rPr>
        <w:t xml:space="preserve">: </w:t>
      </w:r>
      <w:proofErr w:type="spellStart"/>
      <w:r>
        <w:rPr>
          <w:i/>
        </w:rPr>
        <w:t>Dream</w:t>
      </w:r>
      <w:proofErr w:type="spellEnd"/>
      <w:r>
        <w:rPr>
          <w:i/>
        </w:rPr>
        <w:t xml:space="preserve"> </w:t>
      </w:r>
      <w:proofErr w:type="spellStart"/>
      <w:r>
        <w:rPr>
          <w:i/>
        </w:rPr>
        <w:t>and</w:t>
      </w:r>
      <w:proofErr w:type="spellEnd"/>
      <w:r>
        <w:rPr>
          <w:i/>
        </w:rPr>
        <w:t xml:space="preserve"> </w:t>
      </w:r>
      <w:proofErr w:type="spellStart"/>
      <w:r>
        <w:rPr>
          <w:i/>
        </w:rPr>
        <w:t>Reality</w:t>
      </w:r>
      <w:proofErr w:type="spellEnd"/>
      <w:r>
        <w:t xml:space="preserve">, </w:t>
      </w:r>
      <w:proofErr w:type="spellStart"/>
      <w:r>
        <w:t>Transaction</w:t>
      </w:r>
      <w:proofErr w:type="spellEnd"/>
      <w:r>
        <w:t xml:space="preserve"> </w:t>
      </w:r>
      <w:proofErr w:type="spellStart"/>
      <w:r>
        <w:t>Publishers</w:t>
      </w:r>
      <w:proofErr w:type="spellEnd"/>
      <w:r>
        <w:t>, 2008, s.15</w:t>
      </w:r>
    </w:p>
  </w:footnote>
  <w:footnote w:id="43">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44">
    <w:p w:rsidR="009C7566" w:rsidRDefault="009C7566" w:rsidP="00F31102">
      <w:pPr>
        <w:pStyle w:val="FootnoteText"/>
      </w:pPr>
      <w:r>
        <w:rPr>
          <w:rStyle w:val="FootnoteReference"/>
        </w:rPr>
        <w:footnoteRef/>
      </w:r>
      <w:r>
        <w:t xml:space="preserve"> </w:t>
      </w:r>
      <w:proofErr w:type="spellStart"/>
      <w:r>
        <w:rPr>
          <w:i/>
        </w:rPr>
        <w:t>Ibid</w:t>
      </w:r>
      <w:proofErr w:type="spellEnd"/>
      <w:r>
        <w:rPr>
          <w:i/>
        </w:rPr>
        <w:t xml:space="preserve">. </w:t>
      </w:r>
      <w:proofErr w:type="spellStart"/>
      <w:r>
        <w:t>Burke’ün</w:t>
      </w:r>
      <w:proofErr w:type="spellEnd"/>
      <w:r>
        <w:t xml:space="preserve"> adı geçen eserin özgün ismi </w:t>
      </w:r>
      <w:proofErr w:type="spellStart"/>
      <w:r>
        <w:rPr>
          <w:i/>
        </w:rPr>
        <w:t>Réflections</w:t>
      </w:r>
      <w:proofErr w:type="spellEnd"/>
      <w:r>
        <w:rPr>
          <w:i/>
        </w:rPr>
        <w:t xml:space="preserve"> sur </w:t>
      </w:r>
      <w:smartTag w:uri="urn:schemas-microsoft-com:office:smarttags" w:element="PersonName">
        <w:smartTagPr>
          <w:attr w:name="ProductID" w:val="la R￩volution"/>
        </w:smartTagPr>
        <w:r>
          <w:rPr>
            <w:i/>
          </w:rPr>
          <w:t xml:space="preserve">la </w:t>
        </w:r>
        <w:proofErr w:type="spellStart"/>
        <w:r>
          <w:rPr>
            <w:i/>
          </w:rPr>
          <w:t>Révolution</w:t>
        </w:r>
      </w:smartTag>
      <w:proofErr w:type="spellEnd"/>
      <w:r>
        <w:rPr>
          <w:i/>
        </w:rPr>
        <w:t xml:space="preserve"> de France</w:t>
      </w:r>
      <w:r>
        <w:t xml:space="preserve"> (</w:t>
      </w:r>
      <w:r>
        <w:rPr>
          <w:i/>
        </w:rPr>
        <w:t>Fransız Devrimi Üzerine Düşünceler</w:t>
      </w:r>
      <w:r>
        <w:t xml:space="preserve">) </w:t>
      </w:r>
      <w:proofErr w:type="spellStart"/>
      <w:r>
        <w:t>dir</w:t>
      </w:r>
      <w:proofErr w:type="spellEnd"/>
      <w:r>
        <w:t>.</w:t>
      </w:r>
    </w:p>
  </w:footnote>
  <w:footnote w:id="45">
    <w:p w:rsidR="009C7566" w:rsidRDefault="009C7566" w:rsidP="00F31102">
      <w:pPr>
        <w:pStyle w:val="FootnoteText"/>
      </w:pPr>
      <w:r>
        <w:rPr>
          <w:rStyle w:val="FootnoteReference"/>
        </w:rPr>
        <w:footnoteRef/>
      </w:r>
      <w:r>
        <w:t xml:space="preserve"> </w:t>
      </w:r>
      <w:proofErr w:type="spellStart"/>
      <w:r>
        <w:t>Jerry</w:t>
      </w:r>
      <w:proofErr w:type="spellEnd"/>
      <w:r>
        <w:t xml:space="preserve"> Z. </w:t>
      </w:r>
      <w:proofErr w:type="spellStart"/>
      <w:r>
        <w:t>Muller</w:t>
      </w:r>
      <w:proofErr w:type="spellEnd"/>
      <w:r>
        <w:t xml:space="preserve"> (ed.), </w:t>
      </w:r>
      <w:proofErr w:type="spellStart"/>
      <w:r>
        <w:rPr>
          <w:i/>
        </w:rPr>
        <w:t>Conservatism</w:t>
      </w:r>
      <w:proofErr w:type="spellEnd"/>
      <w:r>
        <w:rPr>
          <w:i/>
        </w:rPr>
        <w:t xml:space="preserve">: An </w:t>
      </w:r>
      <w:proofErr w:type="spellStart"/>
      <w:r>
        <w:rPr>
          <w:i/>
        </w:rPr>
        <w:t>Anthology</w:t>
      </w:r>
      <w:proofErr w:type="spellEnd"/>
      <w:r>
        <w:rPr>
          <w:i/>
        </w:rPr>
        <w:t xml:space="preserve"> of </w:t>
      </w:r>
      <w:proofErr w:type="spellStart"/>
      <w:r>
        <w:rPr>
          <w:i/>
        </w:rPr>
        <w:t>Social</w:t>
      </w:r>
      <w:proofErr w:type="spellEnd"/>
      <w:r>
        <w:rPr>
          <w:i/>
        </w:rPr>
        <w:t xml:space="preserve"> </w:t>
      </w:r>
      <w:proofErr w:type="spellStart"/>
      <w:r>
        <w:rPr>
          <w:i/>
        </w:rPr>
        <w:t>and</w:t>
      </w:r>
      <w:proofErr w:type="spellEnd"/>
      <w:r>
        <w:rPr>
          <w:i/>
        </w:rPr>
        <w:t xml:space="preserve"> </w:t>
      </w:r>
      <w:proofErr w:type="spellStart"/>
      <w:r>
        <w:rPr>
          <w:i/>
        </w:rPr>
        <w:t>Political</w:t>
      </w:r>
      <w:proofErr w:type="spellEnd"/>
      <w:r>
        <w:rPr>
          <w:i/>
        </w:rPr>
        <w:t xml:space="preserve"> </w:t>
      </w:r>
      <w:proofErr w:type="spellStart"/>
      <w:r>
        <w:rPr>
          <w:i/>
        </w:rPr>
        <w:t>Thought</w:t>
      </w:r>
      <w:proofErr w:type="spellEnd"/>
      <w:r>
        <w:rPr>
          <w:i/>
        </w:rPr>
        <w:t xml:space="preserve"> </w:t>
      </w:r>
      <w:proofErr w:type="spellStart"/>
      <w:r>
        <w:rPr>
          <w:i/>
        </w:rPr>
        <w:t>From</w:t>
      </w:r>
      <w:proofErr w:type="spellEnd"/>
      <w:r>
        <w:rPr>
          <w:i/>
        </w:rPr>
        <w:t xml:space="preserve"> David </w:t>
      </w:r>
      <w:proofErr w:type="spellStart"/>
      <w:r>
        <w:rPr>
          <w:i/>
        </w:rPr>
        <w:t>Hume</w:t>
      </w:r>
      <w:proofErr w:type="spellEnd"/>
      <w:r>
        <w:rPr>
          <w:i/>
        </w:rPr>
        <w:t xml:space="preserve"> </w:t>
      </w:r>
      <w:proofErr w:type="spellStart"/>
      <w:r>
        <w:rPr>
          <w:i/>
        </w:rPr>
        <w:t>to</w:t>
      </w:r>
      <w:proofErr w:type="spellEnd"/>
      <w:r>
        <w:rPr>
          <w:i/>
        </w:rPr>
        <w:t xml:space="preserve"> </w:t>
      </w:r>
      <w:proofErr w:type="spellStart"/>
      <w:r>
        <w:rPr>
          <w:i/>
        </w:rPr>
        <w:t>The</w:t>
      </w:r>
      <w:proofErr w:type="spellEnd"/>
      <w:r>
        <w:rPr>
          <w:i/>
        </w:rPr>
        <w:t xml:space="preserve"> </w:t>
      </w:r>
      <w:proofErr w:type="spellStart"/>
      <w:r>
        <w:rPr>
          <w:i/>
        </w:rPr>
        <w:t>Present</w:t>
      </w:r>
      <w:proofErr w:type="spellEnd"/>
      <w:r>
        <w:t xml:space="preserve">, New Jersey, Princeton </w:t>
      </w:r>
      <w:proofErr w:type="spellStart"/>
      <w:r>
        <w:t>University</w:t>
      </w:r>
      <w:proofErr w:type="spellEnd"/>
      <w:r>
        <w:t xml:space="preserve"> </w:t>
      </w:r>
      <w:proofErr w:type="spellStart"/>
      <w:r>
        <w:t>Press</w:t>
      </w:r>
      <w:proofErr w:type="spellEnd"/>
      <w:r>
        <w:t>, 1997, s.3</w:t>
      </w:r>
    </w:p>
  </w:footnote>
  <w:footnote w:id="46">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47">
    <w:p w:rsidR="009C7566" w:rsidRDefault="009C7566" w:rsidP="00F31102">
      <w:pPr>
        <w:pStyle w:val="FootnoteText"/>
      </w:pPr>
      <w:r>
        <w:rPr>
          <w:rStyle w:val="FootnoteReference"/>
        </w:rPr>
        <w:footnoteRef/>
      </w:r>
      <w:r>
        <w:t xml:space="preserve"> </w:t>
      </w:r>
      <w:proofErr w:type="spellStart"/>
      <w:r>
        <w:rPr>
          <w:i/>
        </w:rPr>
        <w:t>Ibid</w:t>
      </w:r>
      <w:proofErr w:type="spellEnd"/>
      <w:r>
        <w:rPr>
          <w:i/>
        </w:rPr>
        <w:t xml:space="preserve">. </w:t>
      </w:r>
    </w:p>
  </w:footnote>
  <w:footnote w:id="48">
    <w:p w:rsidR="009C7566" w:rsidRDefault="009C7566" w:rsidP="00F31102">
      <w:pPr>
        <w:pStyle w:val="FootnoteText"/>
      </w:pPr>
      <w:r>
        <w:rPr>
          <w:rStyle w:val="FootnoteReference"/>
        </w:rPr>
        <w:footnoteRef/>
      </w:r>
      <w:r>
        <w:t xml:space="preserve"> </w:t>
      </w:r>
      <w:proofErr w:type="spellStart"/>
      <w:r>
        <w:t>Ervin</w:t>
      </w:r>
      <w:proofErr w:type="spellEnd"/>
      <w:r>
        <w:t xml:space="preserve"> </w:t>
      </w:r>
      <w:proofErr w:type="spellStart"/>
      <w:r>
        <w:t>Chemerinsky</w:t>
      </w:r>
      <w:proofErr w:type="spellEnd"/>
      <w:r>
        <w:t xml:space="preserve">, </w:t>
      </w:r>
      <w:proofErr w:type="spellStart"/>
      <w:r>
        <w:rPr>
          <w:i/>
        </w:rPr>
        <w:t>The</w:t>
      </w:r>
      <w:proofErr w:type="spellEnd"/>
      <w:r>
        <w:rPr>
          <w:i/>
        </w:rPr>
        <w:t xml:space="preserve"> </w:t>
      </w:r>
      <w:proofErr w:type="spellStart"/>
      <w:r>
        <w:rPr>
          <w:i/>
        </w:rPr>
        <w:t>Conservative</w:t>
      </w:r>
      <w:proofErr w:type="spellEnd"/>
      <w:r>
        <w:rPr>
          <w:i/>
        </w:rPr>
        <w:t xml:space="preserve"> Assault on </w:t>
      </w:r>
      <w:proofErr w:type="spellStart"/>
      <w:r>
        <w:rPr>
          <w:i/>
        </w:rPr>
        <w:t>the</w:t>
      </w:r>
      <w:proofErr w:type="spellEnd"/>
      <w:r>
        <w:rPr>
          <w:i/>
        </w:rPr>
        <w:t xml:space="preserve"> </w:t>
      </w:r>
      <w:proofErr w:type="spellStart"/>
      <w:r>
        <w:rPr>
          <w:i/>
        </w:rPr>
        <w:t>Constitution</w:t>
      </w:r>
      <w:proofErr w:type="spellEnd"/>
      <w:r>
        <w:t xml:space="preserve">, </w:t>
      </w:r>
      <w:proofErr w:type="spellStart"/>
      <w:r>
        <w:t>Simon&amp;Schuster</w:t>
      </w:r>
      <w:proofErr w:type="spellEnd"/>
      <w:r>
        <w:t>, 2010, s.269</w:t>
      </w:r>
    </w:p>
  </w:footnote>
  <w:footnote w:id="49">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50">
    <w:p w:rsidR="009C7566" w:rsidRDefault="009C7566" w:rsidP="00F31102">
      <w:pPr>
        <w:pStyle w:val="FootnoteText"/>
      </w:pPr>
      <w:r>
        <w:rPr>
          <w:rStyle w:val="FootnoteReference"/>
        </w:rPr>
        <w:footnoteRef/>
      </w:r>
      <w:r>
        <w:t xml:space="preserve"> </w:t>
      </w:r>
      <w:proofErr w:type="spellStart"/>
      <w:r>
        <w:t>Congleton</w:t>
      </w:r>
      <w:proofErr w:type="spellEnd"/>
      <w:r>
        <w:t xml:space="preserve">, </w:t>
      </w:r>
      <w:proofErr w:type="spellStart"/>
      <w:r>
        <w:rPr>
          <w:i/>
        </w:rPr>
        <w:t>op.cit</w:t>
      </w:r>
      <w:proofErr w:type="spellEnd"/>
      <w:proofErr w:type="gramStart"/>
      <w:r>
        <w:rPr>
          <w:i/>
        </w:rPr>
        <w:t>.</w:t>
      </w:r>
      <w:r>
        <w:t>,</w:t>
      </w:r>
      <w:proofErr w:type="gramEnd"/>
      <w:r>
        <w:t xml:space="preserve"> s.450</w:t>
      </w:r>
    </w:p>
  </w:footnote>
  <w:footnote w:id="51">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52">
    <w:p w:rsidR="009C7566" w:rsidRDefault="009C7566" w:rsidP="00F31102">
      <w:pPr>
        <w:pStyle w:val="FootnoteText"/>
      </w:pPr>
      <w:r>
        <w:rPr>
          <w:rStyle w:val="FootnoteReference"/>
        </w:rPr>
        <w:footnoteRef/>
      </w:r>
      <w:r>
        <w:t xml:space="preserve"> Türk Dil Kurumu, Güncel Türkçe Sözlük, </w:t>
      </w:r>
      <w:hyperlink r:id="rId1" w:history="1">
        <w:r>
          <w:rPr>
            <w:rStyle w:val="Hyperlink"/>
          </w:rPr>
          <w:t>http://www.tdk.gov.tr/index.php?option=com_gts&amp;arama=gts&amp;guid=TDK.GTS.4f257f68df2186.17280171</w:t>
        </w:r>
      </w:hyperlink>
      <w:r>
        <w:t xml:space="preserve">, erişim tarihi: 29.01.2012 </w:t>
      </w:r>
    </w:p>
  </w:footnote>
  <w:footnote w:id="53">
    <w:p w:rsidR="009C7566" w:rsidRDefault="009C7566" w:rsidP="00F31102">
      <w:pPr>
        <w:pStyle w:val="FootnoteText"/>
      </w:pPr>
      <w:r>
        <w:rPr>
          <w:rStyle w:val="FootnoteReference"/>
        </w:rPr>
        <w:footnoteRef/>
      </w:r>
      <w:r>
        <w:t xml:space="preserve"> Yeşim Tükel Kılıç, “</w:t>
      </w:r>
      <w:proofErr w:type="spellStart"/>
      <w:r>
        <w:t>Nationalismus</w:t>
      </w:r>
      <w:proofErr w:type="spellEnd"/>
      <w:r>
        <w:t xml:space="preserve">: Ulusçuluk mu Milliyetçilik mi? Kavramın Çevirisi Üzerinden Türkiye’de Ulusçuluk Söylemlerine Genel Bir Bakış”, </w:t>
      </w:r>
      <w:r>
        <w:rPr>
          <w:i/>
        </w:rPr>
        <w:t>Alman Dili ve Edebiyatı Dergisi</w:t>
      </w:r>
      <w:r>
        <w:t>, Cilt 2, Sayı 22, 2009, s.46</w:t>
      </w:r>
    </w:p>
  </w:footnote>
  <w:footnote w:id="54">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55">
    <w:p w:rsidR="009C7566" w:rsidRDefault="009C7566" w:rsidP="00F31102">
      <w:pPr>
        <w:pStyle w:val="FootnoteText"/>
      </w:pPr>
      <w:r>
        <w:rPr>
          <w:rStyle w:val="FootnoteReference"/>
        </w:rPr>
        <w:footnoteRef/>
      </w:r>
      <w:r>
        <w:t xml:space="preserve"> </w:t>
      </w:r>
      <w:proofErr w:type="spellStart"/>
      <w:r>
        <w:rPr>
          <w:i/>
        </w:rPr>
        <w:t>Ibid</w:t>
      </w:r>
      <w:proofErr w:type="spellEnd"/>
      <w:r>
        <w:rPr>
          <w:i/>
        </w:rPr>
        <w:t>.</w:t>
      </w:r>
    </w:p>
  </w:footnote>
  <w:footnote w:id="56">
    <w:p w:rsidR="009C7566" w:rsidRDefault="009C7566" w:rsidP="00F31102">
      <w:pPr>
        <w:pStyle w:val="FootnoteText"/>
      </w:pPr>
      <w:r>
        <w:rPr>
          <w:rStyle w:val="FootnoteReference"/>
        </w:rPr>
        <w:footnoteRef/>
      </w:r>
      <w:r>
        <w:t xml:space="preserve"> Bkz: Hasan Tunç / Faruk Bilir, “Cumhuriyet Dönemi Anayasalarımızda Milliyetçilik Anlayışı ve Atatürk Milliyetçiliği”, </w:t>
      </w:r>
      <w:r>
        <w:rPr>
          <w:i/>
        </w:rPr>
        <w:t>Gazi Üniversitesi Hukuk Fakültesi Dergisi</w:t>
      </w:r>
      <w:r>
        <w:t>, Cilt 2, Sayı 1-2, (Prof. Dr. İhsan Tarakçıoğlu’na Armağan)</w:t>
      </w:r>
    </w:p>
  </w:footnote>
  <w:footnote w:id="57">
    <w:p w:rsidR="009C7566" w:rsidRDefault="009C7566" w:rsidP="00F31102">
      <w:pPr>
        <w:pStyle w:val="FootnoteText"/>
      </w:pPr>
      <w:r>
        <w:rPr>
          <w:rStyle w:val="FootnoteReference"/>
        </w:rPr>
        <w:footnoteRef/>
      </w:r>
      <w:r>
        <w:t xml:space="preserve"> Basic </w:t>
      </w:r>
      <w:proofErr w:type="spellStart"/>
      <w:r>
        <w:t>Law</w:t>
      </w:r>
      <w:proofErr w:type="spellEnd"/>
      <w:r>
        <w:t xml:space="preserve"> </w:t>
      </w:r>
      <w:proofErr w:type="spellStart"/>
      <w:r>
        <w:t>for</w:t>
      </w:r>
      <w:proofErr w:type="spellEnd"/>
      <w:r>
        <w:t xml:space="preserve"> </w:t>
      </w:r>
      <w:proofErr w:type="spellStart"/>
      <w:r>
        <w:t>the</w:t>
      </w:r>
      <w:proofErr w:type="spellEnd"/>
      <w:r>
        <w:t xml:space="preserve"> Federal </w:t>
      </w:r>
      <w:proofErr w:type="spellStart"/>
      <w:r>
        <w:t>Republic</w:t>
      </w:r>
      <w:proofErr w:type="spellEnd"/>
      <w:r>
        <w:t xml:space="preserve"> of Germany, </w:t>
      </w:r>
      <w:hyperlink r:id="rId2" w:history="1">
        <w:r>
          <w:rPr>
            <w:rStyle w:val="Hyperlink"/>
          </w:rPr>
          <w:t>http://constitution.org/cons/germany.txt</w:t>
        </w:r>
      </w:hyperlink>
      <w:r>
        <w:t>, erişim tarihi: 29.01.2012</w:t>
      </w:r>
    </w:p>
  </w:footnote>
  <w:footnote w:id="58">
    <w:p w:rsidR="009C7566" w:rsidRDefault="009C7566" w:rsidP="00F31102">
      <w:pPr>
        <w:pStyle w:val="FootnoteText"/>
      </w:pPr>
      <w:r>
        <w:rPr>
          <w:rStyle w:val="FootnoteReference"/>
        </w:rPr>
        <w:footnoteRef/>
      </w:r>
      <w:r>
        <w:t xml:space="preserve"> </w:t>
      </w:r>
      <w:proofErr w:type="spellStart"/>
      <w:r>
        <w:t>Constitution</w:t>
      </w:r>
      <w:proofErr w:type="spellEnd"/>
      <w:r>
        <w:t xml:space="preserve"> de </w:t>
      </w:r>
      <w:smartTag w:uri="urn:schemas-microsoft-com:office:smarttags" w:element="PersonName">
        <w:smartTagPr>
          <w:attr w:name="ProductID" w:val="La R￩publique"/>
        </w:smartTagPr>
        <w:r>
          <w:t xml:space="preserve">la </w:t>
        </w:r>
        <w:proofErr w:type="spellStart"/>
        <w:r>
          <w:t>République</w:t>
        </w:r>
      </w:smartTag>
      <w:proofErr w:type="spellEnd"/>
      <w:r>
        <w:t xml:space="preserve"> </w:t>
      </w:r>
      <w:proofErr w:type="spellStart"/>
      <w:r>
        <w:t>française</w:t>
      </w:r>
      <w:proofErr w:type="spellEnd"/>
      <w:r>
        <w:t xml:space="preserve">, Le Site </w:t>
      </w:r>
      <w:proofErr w:type="spellStart"/>
      <w:r>
        <w:t>Officiel</w:t>
      </w:r>
      <w:proofErr w:type="spellEnd"/>
      <w:r>
        <w:t xml:space="preserve"> </w:t>
      </w:r>
      <w:proofErr w:type="spellStart"/>
      <w:r>
        <w:t>d’Assemblée</w:t>
      </w:r>
      <w:proofErr w:type="spellEnd"/>
      <w:r>
        <w:t xml:space="preserve"> </w:t>
      </w:r>
      <w:proofErr w:type="spellStart"/>
      <w:r>
        <w:t>Nationale</w:t>
      </w:r>
      <w:proofErr w:type="spellEnd"/>
      <w:r>
        <w:t xml:space="preserve">, </w:t>
      </w:r>
      <w:hyperlink r:id="rId3" w:history="1">
        <w:r>
          <w:rPr>
            <w:rStyle w:val="Hyperlink"/>
          </w:rPr>
          <w:t>http://www.assemblee-nationale.fr/connaissance/constitution.asp</w:t>
        </w:r>
      </w:hyperlink>
      <w:r>
        <w:t>, erişim tarihi: 29.01.2012</w:t>
      </w:r>
    </w:p>
  </w:footnote>
  <w:footnote w:id="59">
    <w:p w:rsidR="009C7566" w:rsidRDefault="009C7566" w:rsidP="00F31102">
      <w:pPr>
        <w:pStyle w:val="FootnoteText"/>
      </w:pPr>
      <w:r>
        <w:rPr>
          <w:rStyle w:val="FootnoteReference"/>
        </w:rPr>
        <w:footnoteRef/>
      </w:r>
      <w:r>
        <w:t xml:space="preserve"> </w:t>
      </w:r>
      <w:proofErr w:type="spellStart"/>
      <w:r>
        <w:t>Costituzione</w:t>
      </w:r>
      <w:proofErr w:type="spellEnd"/>
      <w:r>
        <w:t xml:space="preserve"> </w:t>
      </w:r>
      <w:proofErr w:type="spellStart"/>
      <w:r>
        <w:t>Della</w:t>
      </w:r>
      <w:proofErr w:type="spellEnd"/>
      <w:r>
        <w:t xml:space="preserve"> </w:t>
      </w:r>
      <w:proofErr w:type="spellStart"/>
      <w:r>
        <w:t>Repubblica</w:t>
      </w:r>
      <w:proofErr w:type="spellEnd"/>
      <w:r>
        <w:t xml:space="preserve"> </w:t>
      </w:r>
      <w:proofErr w:type="spellStart"/>
      <w:r>
        <w:t>Italiana</w:t>
      </w:r>
      <w:proofErr w:type="spellEnd"/>
      <w:r>
        <w:t xml:space="preserve">, </w:t>
      </w:r>
      <w:hyperlink r:id="rId4" w:history="1">
        <w:r>
          <w:rPr>
            <w:rStyle w:val="Hyperlink"/>
          </w:rPr>
          <w:t>http://constitution.org/cons/italy.txt</w:t>
        </w:r>
      </w:hyperlink>
      <w:r>
        <w:t xml:space="preserve">; </w:t>
      </w:r>
      <w:proofErr w:type="spellStart"/>
      <w:r>
        <w:t>Italy-Constitution</w:t>
      </w:r>
      <w:proofErr w:type="spellEnd"/>
      <w:r>
        <w:t xml:space="preserve">, </w:t>
      </w:r>
      <w:hyperlink r:id="rId5" w:history="1">
        <w:r>
          <w:rPr>
            <w:rStyle w:val="Hyperlink"/>
          </w:rPr>
          <w:t>http://www.servat.unibe.ch/icl/it00000_.html</w:t>
        </w:r>
      </w:hyperlink>
      <w:r>
        <w:t>, erişim tarihi: 29.01.2012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44658"/>
    <w:multiLevelType w:val="hybridMultilevel"/>
    <w:tmpl w:val="D77C3CFA"/>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1A85056"/>
    <w:multiLevelType w:val="hybridMultilevel"/>
    <w:tmpl w:val="E0C0A6FE"/>
    <w:lvl w:ilvl="0" w:tplc="C0EEE2C8">
      <w:start w:val="1"/>
      <w:numFmt w:val="upperLetter"/>
      <w:lvlText w:val="%1."/>
      <w:lvlJc w:val="left"/>
      <w:pPr>
        <w:tabs>
          <w:tab w:val="num" w:pos="0"/>
        </w:tabs>
        <w:ind w:left="0" w:hanging="360"/>
      </w:pPr>
    </w:lvl>
    <w:lvl w:ilvl="1" w:tplc="0F4AEE00">
      <w:start w:val="1"/>
      <w:numFmt w:val="decimal"/>
      <w:lvlText w:val="%2."/>
      <w:lvlJc w:val="left"/>
      <w:pPr>
        <w:tabs>
          <w:tab w:val="num" w:pos="720"/>
        </w:tabs>
        <w:ind w:left="72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F0465A1"/>
    <w:multiLevelType w:val="hybridMultilevel"/>
    <w:tmpl w:val="70EEF73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6E212C42"/>
    <w:multiLevelType w:val="hybridMultilevel"/>
    <w:tmpl w:val="A0602A20"/>
    <w:lvl w:ilvl="0" w:tplc="61B846FE">
      <w:start w:val="1"/>
      <w:numFmt w:val="decimal"/>
      <w:lvlText w:val="%1."/>
      <w:lvlJc w:val="left"/>
      <w:pPr>
        <w:tabs>
          <w:tab w:val="num" w:pos="540"/>
        </w:tabs>
        <w:ind w:left="540" w:hanging="360"/>
      </w:pPr>
      <w:rPr>
        <w:b/>
      </w:rPr>
    </w:lvl>
    <w:lvl w:ilvl="1" w:tplc="041F0019">
      <w:start w:val="1"/>
      <w:numFmt w:val="decimal"/>
      <w:lvlText w:val="%2."/>
      <w:lvlJc w:val="left"/>
      <w:pPr>
        <w:tabs>
          <w:tab w:val="num" w:pos="1800"/>
        </w:tabs>
        <w:ind w:left="1800" w:hanging="360"/>
      </w:pPr>
    </w:lvl>
    <w:lvl w:ilvl="2" w:tplc="041F001B">
      <w:start w:val="1"/>
      <w:numFmt w:val="decimal"/>
      <w:lvlText w:val="%3."/>
      <w:lvlJc w:val="left"/>
      <w:pPr>
        <w:tabs>
          <w:tab w:val="num" w:pos="2520"/>
        </w:tabs>
        <w:ind w:left="2520" w:hanging="360"/>
      </w:pPr>
    </w:lvl>
    <w:lvl w:ilvl="3" w:tplc="041F000F">
      <w:start w:val="1"/>
      <w:numFmt w:val="decimal"/>
      <w:lvlText w:val="%4."/>
      <w:lvlJc w:val="left"/>
      <w:pPr>
        <w:tabs>
          <w:tab w:val="num" w:pos="3240"/>
        </w:tabs>
        <w:ind w:left="3240" w:hanging="360"/>
      </w:pPr>
    </w:lvl>
    <w:lvl w:ilvl="4" w:tplc="041F0019">
      <w:start w:val="1"/>
      <w:numFmt w:val="decimal"/>
      <w:lvlText w:val="%5."/>
      <w:lvlJc w:val="left"/>
      <w:pPr>
        <w:tabs>
          <w:tab w:val="num" w:pos="3960"/>
        </w:tabs>
        <w:ind w:left="3960" w:hanging="360"/>
      </w:pPr>
    </w:lvl>
    <w:lvl w:ilvl="5" w:tplc="041F001B">
      <w:start w:val="1"/>
      <w:numFmt w:val="decimal"/>
      <w:lvlText w:val="%6."/>
      <w:lvlJc w:val="left"/>
      <w:pPr>
        <w:tabs>
          <w:tab w:val="num" w:pos="4680"/>
        </w:tabs>
        <w:ind w:left="4680" w:hanging="360"/>
      </w:pPr>
    </w:lvl>
    <w:lvl w:ilvl="6" w:tplc="041F000F">
      <w:start w:val="1"/>
      <w:numFmt w:val="decimal"/>
      <w:lvlText w:val="%7."/>
      <w:lvlJc w:val="left"/>
      <w:pPr>
        <w:tabs>
          <w:tab w:val="num" w:pos="5400"/>
        </w:tabs>
        <w:ind w:left="5400" w:hanging="360"/>
      </w:pPr>
    </w:lvl>
    <w:lvl w:ilvl="7" w:tplc="041F0019">
      <w:start w:val="1"/>
      <w:numFmt w:val="decimal"/>
      <w:lvlText w:val="%8."/>
      <w:lvlJc w:val="left"/>
      <w:pPr>
        <w:tabs>
          <w:tab w:val="num" w:pos="6120"/>
        </w:tabs>
        <w:ind w:left="6120" w:hanging="360"/>
      </w:pPr>
    </w:lvl>
    <w:lvl w:ilvl="8" w:tplc="041F001B">
      <w:start w:val="1"/>
      <w:numFmt w:val="decimal"/>
      <w:lvlText w:val="%9."/>
      <w:lvlJc w:val="left"/>
      <w:pPr>
        <w:tabs>
          <w:tab w:val="num" w:pos="6840"/>
        </w:tabs>
        <w:ind w:left="68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02"/>
    <w:rsid w:val="00014DFB"/>
    <w:rsid w:val="000331DE"/>
    <w:rsid w:val="00034AF0"/>
    <w:rsid w:val="00035A3C"/>
    <w:rsid w:val="000462C2"/>
    <w:rsid w:val="000527AD"/>
    <w:rsid w:val="00055A6C"/>
    <w:rsid w:val="000568B8"/>
    <w:rsid w:val="000617F2"/>
    <w:rsid w:val="00061A3C"/>
    <w:rsid w:val="00072D71"/>
    <w:rsid w:val="000B1C2C"/>
    <w:rsid w:val="000B7CD8"/>
    <w:rsid w:val="000C42CC"/>
    <w:rsid w:val="000D08AE"/>
    <w:rsid w:val="000D1B7F"/>
    <w:rsid w:val="000D1CC1"/>
    <w:rsid w:val="000D4608"/>
    <w:rsid w:val="000D55E5"/>
    <w:rsid w:val="000F3689"/>
    <w:rsid w:val="000F52C8"/>
    <w:rsid w:val="001119FA"/>
    <w:rsid w:val="001132FD"/>
    <w:rsid w:val="0011729E"/>
    <w:rsid w:val="00117786"/>
    <w:rsid w:val="0012212B"/>
    <w:rsid w:val="00153663"/>
    <w:rsid w:val="00153922"/>
    <w:rsid w:val="00166721"/>
    <w:rsid w:val="00170056"/>
    <w:rsid w:val="0017327E"/>
    <w:rsid w:val="00176444"/>
    <w:rsid w:val="00176DD5"/>
    <w:rsid w:val="001970C5"/>
    <w:rsid w:val="00197F78"/>
    <w:rsid w:val="001A2AA8"/>
    <w:rsid w:val="001C5244"/>
    <w:rsid w:val="001D588B"/>
    <w:rsid w:val="001E6892"/>
    <w:rsid w:val="0022102A"/>
    <w:rsid w:val="0026089F"/>
    <w:rsid w:val="00272852"/>
    <w:rsid w:val="00280D55"/>
    <w:rsid w:val="0028145D"/>
    <w:rsid w:val="00287555"/>
    <w:rsid w:val="002B5C77"/>
    <w:rsid w:val="002B6DD8"/>
    <w:rsid w:val="002B7FDC"/>
    <w:rsid w:val="002C395B"/>
    <w:rsid w:val="002C7AA7"/>
    <w:rsid w:val="002D5C00"/>
    <w:rsid w:val="002E547E"/>
    <w:rsid w:val="00300FD7"/>
    <w:rsid w:val="00304669"/>
    <w:rsid w:val="00311F62"/>
    <w:rsid w:val="0032413F"/>
    <w:rsid w:val="00327322"/>
    <w:rsid w:val="003276FD"/>
    <w:rsid w:val="00331E55"/>
    <w:rsid w:val="00336319"/>
    <w:rsid w:val="003527D5"/>
    <w:rsid w:val="00364712"/>
    <w:rsid w:val="003718F0"/>
    <w:rsid w:val="003745BE"/>
    <w:rsid w:val="00376D41"/>
    <w:rsid w:val="0038021B"/>
    <w:rsid w:val="0038213F"/>
    <w:rsid w:val="0038491E"/>
    <w:rsid w:val="003871CB"/>
    <w:rsid w:val="003A163F"/>
    <w:rsid w:val="003A51E1"/>
    <w:rsid w:val="003A6F4B"/>
    <w:rsid w:val="003B6900"/>
    <w:rsid w:val="003B7241"/>
    <w:rsid w:val="003C51F7"/>
    <w:rsid w:val="003C7062"/>
    <w:rsid w:val="003D7201"/>
    <w:rsid w:val="003E0BCE"/>
    <w:rsid w:val="003F2774"/>
    <w:rsid w:val="003F429D"/>
    <w:rsid w:val="0041086B"/>
    <w:rsid w:val="00422ECC"/>
    <w:rsid w:val="004339F7"/>
    <w:rsid w:val="00435F67"/>
    <w:rsid w:val="00436420"/>
    <w:rsid w:val="004438B1"/>
    <w:rsid w:val="00445BBA"/>
    <w:rsid w:val="00452546"/>
    <w:rsid w:val="00453808"/>
    <w:rsid w:val="00456D4C"/>
    <w:rsid w:val="00467BBA"/>
    <w:rsid w:val="004876DF"/>
    <w:rsid w:val="00496B59"/>
    <w:rsid w:val="0049787B"/>
    <w:rsid w:val="004A3B60"/>
    <w:rsid w:val="004A5D50"/>
    <w:rsid w:val="004B0AE0"/>
    <w:rsid w:val="004B4B9D"/>
    <w:rsid w:val="004D4B66"/>
    <w:rsid w:val="004E5D4B"/>
    <w:rsid w:val="004F1024"/>
    <w:rsid w:val="004F4A26"/>
    <w:rsid w:val="005145FE"/>
    <w:rsid w:val="00515944"/>
    <w:rsid w:val="00524D21"/>
    <w:rsid w:val="00533CEC"/>
    <w:rsid w:val="00534F36"/>
    <w:rsid w:val="00536C25"/>
    <w:rsid w:val="0054496C"/>
    <w:rsid w:val="00544CB1"/>
    <w:rsid w:val="00546422"/>
    <w:rsid w:val="00552E3F"/>
    <w:rsid w:val="005569AD"/>
    <w:rsid w:val="00562D8E"/>
    <w:rsid w:val="00566213"/>
    <w:rsid w:val="005664A1"/>
    <w:rsid w:val="00574F2F"/>
    <w:rsid w:val="0058374B"/>
    <w:rsid w:val="0058499A"/>
    <w:rsid w:val="00591A8E"/>
    <w:rsid w:val="005A7D7D"/>
    <w:rsid w:val="005D7EBE"/>
    <w:rsid w:val="005F7A52"/>
    <w:rsid w:val="006026B0"/>
    <w:rsid w:val="0060411C"/>
    <w:rsid w:val="006163C5"/>
    <w:rsid w:val="00616EB2"/>
    <w:rsid w:val="00624F71"/>
    <w:rsid w:val="006253BE"/>
    <w:rsid w:val="00626FEA"/>
    <w:rsid w:val="00632C57"/>
    <w:rsid w:val="0065182F"/>
    <w:rsid w:val="00657611"/>
    <w:rsid w:val="00665105"/>
    <w:rsid w:val="00671BC6"/>
    <w:rsid w:val="006759AE"/>
    <w:rsid w:val="00681BEF"/>
    <w:rsid w:val="00684C37"/>
    <w:rsid w:val="0069038A"/>
    <w:rsid w:val="00694309"/>
    <w:rsid w:val="006A0E7F"/>
    <w:rsid w:val="006B181B"/>
    <w:rsid w:val="006B328D"/>
    <w:rsid w:val="006B6F13"/>
    <w:rsid w:val="006B7D88"/>
    <w:rsid w:val="006C3113"/>
    <w:rsid w:val="006C4A8D"/>
    <w:rsid w:val="006E2F87"/>
    <w:rsid w:val="00703497"/>
    <w:rsid w:val="00703FE9"/>
    <w:rsid w:val="00705C34"/>
    <w:rsid w:val="00707853"/>
    <w:rsid w:val="0071452D"/>
    <w:rsid w:val="00716E0A"/>
    <w:rsid w:val="00735821"/>
    <w:rsid w:val="00753049"/>
    <w:rsid w:val="00753D7E"/>
    <w:rsid w:val="0076288B"/>
    <w:rsid w:val="007629B2"/>
    <w:rsid w:val="0079074E"/>
    <w:rsid w:val="007961E3"/>
    <w:rsid w:val="007D69D2"/>
    <w:rsid w:val="007E6804"/>
    <w:rsid w:val="007E6E9D"/>
    <w:rsid w:val="007F1128"/>
    <w:rsid w:val="007F22A9"/>
    <w:rsid w:val="00811CA7"/>
    <w:rsid w:val="00815520"/>
    <w:rsid w:val="00822402"/>
    <w:rsid w:val="0083005F"/>
    <w:rsid w:val="00831D99"/>
    <w:rsid w:val="0083478D"/>
    <w:rsid w:val="00855835"/>
    <w:rsid w:val="00877F52"/>
    <w:rsid w:val="00880D7C"/>
    <w:rsid w:val="00885094"/>
    <w:rsid w:val="008872E3"/>
    <w:rsid w:val="0089188C"/>
    <w:rsid w:val="008A3AC4"/>
    <w:rsid w:val="008B155A"/>
    <w:rsid w:val="008B1627"/>
    <w:rsid w:val="008B2C06"/>
    <w:rsid w:val="008C792F"/>
    <w:rsid w:val="008E0F35"/>
    <w:rsid w:val="0090271E"/>
    <w:rsid w:val="0090716F"/>
    <w:rsid w:val="00921BBB"/>
    <w:rsid w:val="00925C0F"/>
    <w:rsid w:val="0093308C"/>
    <w:rsid w:val="00937D55"/>
    <w:rsid w:val="0096009F"/>
    <w:rsid w:val="009A09CD"/>
    <w:rsid w:val="009A5B2F"/>
    <w:rsid w:val="009B4C97"/>
    <w:rsid w:val="009B6E8B"/>
    <w:rsid w:val="009C6D2A"/>
    <w:rsid w:val="009C7566"/>
    <w:rsid w:val="009E4DC4"/>
    <w:rsid w:val="009E5BC4"/>
    <w:rsid w:val="009E6D5D"/>
    <w:rsid w:val="009E73E6"/>
    <w:rsid w:val="009F0BE0"/>
    <w:rsid w:val="00A01361"/>
    <w:rsid w:val="00A06C23"/>
    <w:rsid w:val="00A173D3"/>
    <w:rsid w:val="00A266DE"/>
    <w:rsid w:val="00A36773"/>
    <w:rsid w:val="00A5522B"/>
    <w:rsid w:val="00A57EF7"/>
    <w:rsid w:val="00A6447D"/>
    <w:rsid w:val="00A74CBF"/>
    <w:rsid w:val="00A85348"/>
    <w:rsid w:val="00A918A7"/>
    <w:rsid w:val="00AA1E5C"/>
    <w:rsid w:val="00AB1169"/>
    <w:rsid w:val="00AB6865"/>
    <w:rsid w:val="00AD127A"/>
    <w:rsid w:val="00AD5D08"/>
    <w:rsid w:val="00AE106C"/>
    <w:rsid w:val="00AF084B"/>
    <w:rsid w:val="00AF41D8"/>
    <w:rsid w:val="00AF5BB6"/>
    <w:rsid w:val="00B035A5"/>
    <w:rsid w:val="00B03DC0"/>
    <w:rsid w:val="00B06262"/>
    <w:rsid w:val="00B067AE"/>
    <w:rsid w:val="00B108B5"/>
    <w:rsid w:val="00B11F11"/>
    <w:rsid w:val="00B2297B"/>
    <w:rsid w:val="00B240B8"/>
    <w:rsid w:val="00B3160B"/>
    <w:rsid w:val="00B36402"/>
    <w:rsid w:val="00B45812"/>
    <w:rsid w:val="00B56D4A"/>
    <w:rsid w:val="00B81181"/>
    <w:rsid w:val="00B832A3"/>
    <w:rsid w:val="00BA4C04"/>
    <w:rsid w:val="00BA656B"/>
    <w:rsid w:val="00BA6611"/>
    <w:rsid w:val="00BB10B1"/>
    <w:rsid w:val="00BD216E"/>
    <w:rsid w:val="00BE63A7"/>
    <w:rsid w:val="00BF0044"/>
    <w:rsid w:val="00BF3CA4"/>
    <w:rsid w:val="00C2095C"/>
    <w:rsid w:val="00C26800"/>
    <w:rsid w:val="00C324DE"/>
    <w:rsid w:val="00C35ACB"/>
    <w:rsid w:val="00C44203"/>
    <w:rsid w:val="00C45037"/>
    <w:rsid w:val="00C52A25"/>
    <w:rsid w:val="00C54BCF"/>
    <w:rsid w:val="00C6207E"/>
    <w:rsid w:val="00C72314"/>
    <w:rsid w:val="00C802F8"/>
    <w:rsid w:val="00C97A87"/>
    <w:rsid w:val="00CA3788"/>
    <w:rsid w:val="00CA38FF"/>
    <w:rsid w:val="00CA3FB7"/>
    <w:rsid w:val="00CA4D18"/>
    <w:rsid w:val="00CB27A5"/>
    <w:rsid w:val="00CB4354"/>
    <w:rsid w:val="00CC7047"/>
    <w:rsid w:val="00CD08FC"/>
    <w:rsid w:val="00CD2661"/>
    <w:rsid w:val="00CD3CAF"/>
    <w:rsid w:val="00CD6156"/>
    <w:rsid w:val="00CE3E40"/>
    <w:rsid w:val="00CF760B"/>
    <w:rsid w:val="00D00F44"/>
    <w:rsid w:val="00D13BAA"/>
    <w:rsid w:val="00D16614"/>
    <w:rsid w:val="00D16B1A"/>
    <w:rsid w:val="00D16D4C"/>
    <w:rsid w:val="00D44169"/>
    <w:rsid w:val="00D4741E"/>
    <w:rsid w:val="00D50DA5"/>
    <w:rsid w:val="00D53CB5"/>
    <w:rsid w:val="00D561A2"/>
    <w:rsid w:val="00D749E0"/>
    <w:rsid w:val="00D75679"/>
    <w:rsid w:val="00D82CF5"/>
    <w:rsid w:val="00D96340"/>
    <w:rsid w:val="00DB39DD"/>
    <w:rsid w:val="00DB6BFF"/>
    <w:rsid w:val="00DC3015"/>
    <w:rsid w:val="00DE759C"/>
    <w:rsid w:val="00DF21D3"/>
    <w:rsid w:val="00DF59B5"/>
    <w:rsid w:val="00E0429F"/>
    <w:rsid w:val="00E12339"/>
    <w:rsid w:val="00E12E31"/>
    <w:rsid w:val="00E13247"/>
    <w:rsid w:val="00E21A64"/>
    <w:rsid w:val="00E230DB"/>
    <w:rsid w:val="00E45115"/>
    <w:rsid w:val="00E515CF"/>
    <w:rsid w:val="00E57D7E"/>
    <w:rsid w:val="00E57F22"/>
    <w:rsid w:val="00E76598"/>
    <w:rsid w:val="00E82053"/>
    <w:rsid w:val="00E83034"/>
    <w:rsid w:val="00E83D6E"/>
    <w:rsid w:val="00EB3C01"/>
    <w:rsid w:val="00EB6E90"/>
    <w:rsid w:val="00EC6149"/>
    <w:rsid w:val="00ED0EC1"/>
    <w:rsid w:val="00ED3467"/>
    <w:rsid w:val="00EE337C"/>
    <w:rsid w:val="00EF0142"/>
    <w:rsid w:val="00F00D2E"/>
    <w:rsid w:val="00F01ACE"/>
    <w:rsid w:val="00F10BD2"/>
    <w:rsid w:val="00F10F84"/>
    <w:rsid w:val="00F12139"/>
    <w:rsid w:val="00F149AF"/>
    <w:rsid w:val="00F15277"/>
    <w:rsid w:val="00F20DD8"/>
    <w:rsid w:val="00F21546"/>
    <w:rsid w:val="00F276F7"/>
    <w:rsid w:val="00F31102"/>
    <w:rsid w:val="00F32572"/>
    <w:rsid w:val="00F47AE8"/>
    <w:rsid w:val="00F5042B"/>
    <w:rsid w:val="00F60D76"/>
    <w:rsid w:val="00F6120A"/>
    <w:rsid w:val="00F62AF1"/>
    <w:rsid w:val="00F70F2D"/>
    <w:rsid w:val="00F80832"/>
    <w:rsid w:val="00F85ACC"/>
    <w:rsid w:val="00FA4D3D"/>
    <w:rsid w:val="00FB1037"/>
    <w:rsid w:val="00FC42FA"/>
    <w:rsid w:val="00FC5F5F"/>
    <w:rsid w:val="00FD4188"/>
    <w:rsid w:val="00FD7CCD"/>
    <w:rsid w:val="00FF41B0"/>
    <w:rsid w:val="00FF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102"/>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31102"/>
    <w:pPr>
      <w:tabs>
        <w:tab w:val="center" w:pos="4536"/>
        <w:tab w:val="right" w:pos="9072"/>
      </w:tabs>
    </w:pPr>
  </w:style>
  <w:style w:type="paragraph" w:styleId="Footer">
    <w:name w:val="footer"/>
    <w:basedOn w:val="Normal"/>
    <w:rsid w:val="00F31102"/>
    <w:pPr>
      <w:tabs>
        <w:tab w:val="center" w:pos="4536"/>
        <w:tab w:val="right" w:pos="9072"/>
      </w:tabs>
    </w:pPr>
  </w:style>
  <w:style w:type="character" w:styleId="Hyperlink">
    <w:name w:val="Hyperlink"/>
    <w:basedOn w:val="DefaultParagraphFont"/>
    <w:rsid w:val="00F31102"/>
    <w:rPr>
      <w:color w:val="0000FF"/>
      <w:u w:val="single"/>
    </w:rPr>
  </w:style>
  <w:style w:type="paragraph" w:styleId="FootnoteText">
    <w:name w:val="footnote text"/>
    <w:basedOn w:val="Normal"/>
    <w:semiHidden/>
    <w:rsid w:val="00F31102"/>
    <w:rPr>
      <w:sz w:val="20"/>
      <w:szCs w:val="20"/>
    </w:rPr>
  </w:style>
  <w:style w:type="character" w:styleId="FootnoteReference">
    <w:name w:val="footnote reference"/>
    <w:basedOn w:val="DefaultParagraphFont"/>
    <w:semiHidden/>
    <w:rsid w:val="00F31102"/>
    <w:rPr>
      <w:vertAlign w:val="superscript"/>
    </w:rPr>
  </w:style>
  <w:style w:type="character" w:customStyle="1" w:styleId="apple-style-span">
    <w:name w:val="apple-style-span"/>
    <w:basedOn w:val="DefaultParagraphFont"/>
    <w:rsid w:val="00F31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102"/>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31102"/>
    <w:pPr>
      <w:tabs>
        <w:tab w:val="center" w:pos="4536"/>
        <w:tab w:val="right" w:pos="9072"/>
      </w:tabs>
    </w:pPr>
  </w:style>
  <w:style w:type="paragraph" w:styleId="Footer">
    <w:name w:val="footer"/>
    <w:basedOn w:val="Normal"/>
    <w:rsid w:val="00F31102"/>
    <w:pPr>
      <w:tabs>
        <w:tab w:val="center" w:pos="4536"/>
        <w:tab w:val="right" w:pos="9072"/>
      </w:tabs>
    </w:pPr>
  </w:style>
  <w:style w:type="character" w:styleId="Hyperlink">
    <w:name w:val="Hyperlink"/>
    <w:basedOn w:val="DefaultParagraphFont"/>
    <w:rsid w:val="00F31102"/>
    <w:rPr>
      <w:color w:val="0000FF"/>
      <w:u w:val="single"/>
    </w:rPr>
  </w:style>
  <w:style w:type="paragraph" w:styleId="FootnoteText">
    <w:name w:val="footnote text"/>
    <w:basedOn w:val="Normal"/>
    <w:semiHidden/>
    <w:rsid w:val="00F31102"/>
    <w:rPr>
      <w:sz w:val="20"/>
      <w:szCs w:val="20"/>
    </w:rPr>
  </w:style>
  <w:style w:type="character" w:styleId="FootnoteReference">
    <w:name w:val="footnote reference"/>
    <w:basedOn w:val="DefaultParagraphFont"/>
    <w:semiHidden/>
    <w:rsid w:val="00F31102"/>
    <w:rPr>
      <w:vertAlign w:val="superscript"/>
    </w:rPr>
  </w:style>
  <w:style w:type="character" w:customStyle="1" w:styleId="apple-style-span">
    <w:name w:val="apple-style-span"/>
    <w:basedOn w:val="DefaultParagraphFont"/>
    <w:rsid w:val="00F3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stitution.org/cons/germany.tx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dk.gov.tr/index.php?option=com_gts&amp;arama=gts&amp;guid=TDK.GTS.4f257f68df2186.17280171" TargetMode="External"/><Relationship Id="rId5" Type="http://schemas.openxmlformats.org/officeDocument/2006/relationships/webSettings" Target="webSettings.xml"/><Relationship Id="rId10" Type="http://schemas.openxmlformats.org/officeDocument/2006/relationships/hyperlink" Target="http://www.assemblee-nationale.fr/connaissance/constitution.asp" TargetMode="External"/><Relationship Id="rId4" Type="http://schemas.openxmlformats.org/officeDocument/2006/relationships/settings" Target="settings.xml"/><Relationship Id="rId9" Type="http://schemas.openxmlformats.org/officeDocument/2006/relationships/hyperlink" Target="http://constitution.org/cons/italy.tx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ssemblee-nationale.fr/connaissance/constitution.asp" TargetMode="External"/><Relationship Id="rId2" Type="http://schemas.openxmlformats.org/officeDocument/2006/relationships/hyperlink" Target="http://constitution.org/cons/germany.txt" TargetMode="External"/><Relationship Id="rId1" Type="http://schemas.openxmlformats.org/officeDocument/2006/relationships/hyperlink" Target="http://www.tdk.gov.tr/index.php?option=com_gts&amp;arama=gts&amp;guid=TDK.GTS.4f257f68df2186.17280171" TargetMode="External"/><Relationship Id="rId5" Type="http://schemas.openxmlformats.org/officeDocument/2006/relationships/hyperlink" Target="http://www.servat.unibe.ch/icl/it00000_.html" TargetMode="External"/><Relationship Id="rId4" Type="http://schemas.openxmlformats.org/officeDocument/2006/relationships/hyperlink" Target="http://constitution.org/cons/italy.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3664</Words>
  <Characters>20889</Characters>
  <Application>Microsoft Office Word</Application>
  <DocSecurity>0</DocSecurity>
  <Lines>174</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FARKLI SİYASİ FİKİR AKIMLARININ ANAYASA İLE İLİŞKİLENDİRİLMESİ ÜZERİNE BİR İNCELEME</vt:lpstr>
      <vt:lpstr>FARKLI SİYASİ FİKİR AKIMLARININ ANAYASA İLE İLİŞKİLENDİRİLMESİ ÜZERİNE BİR İNCELEME</vt:lpstr>
    </vt:vector>
  </TitlesOfParts>
  <Company>Sirket Adi</Company>
  <LinksUpToDate>false</LinksUpToDate>
  <CharactersWithSpaces>24504</CharactersWithSpaces>
  <SharedDoc>false</SharedDoc>
  <HLinks>
    <vt:vector size="54" baseType="variant">
      <vt:variant>
        <vt:i4>6226020</vt:i4>
      </vt:variant>
      <vt:variant>
        <vt:i4>9</vt:i4>
      </vt:variant>
      <vt:variant>
        <vt:i4>0</vt:i4>
      </vt:variant>
      <vt:variant>
        <vt:i4>5</vt:i4>
      </vt:variant>
      <vt:variant>
        <vt:lpwstr>http://www.tdk.gov.tr/index.php?option=com_gts&amp;arama=gts&amp;guid=TDK.GTS.4f257f68df2186.17280171</vt:lpwstr>
      </vt:variant>
      <vt:variant>
        <vt:lpwstr/>
      </vt:variant>
      <vt:variant>
        <vt:i4>4063342</vt:i4>
      </vt:variant>
      <vt:variant>
        <vt:i4>6</vt:i4>
      </vt:variant>
      <vt:variant>
        <vt:i4>0</vt:i4>
      </vt:variant>
      <vt:variant>
        <vt:i4>5</vt:i4>
      </vt:variant>
      <vt:variant>
        <vt:lpwstr>http://www.assemblee-nationale.fr/connaissance/constitution.asp</vt:lpwstr>
      </vt:variant>
      <vt:variant>
        <vt:lpwstr/>
      </vt:variant>
      <vt:variant>
        <vt:i4>2293866</vt:i4>
      </vt:variant>
      <vt:variant>
        <vt:i4>3</vt:i4>
      </vt:variant>
      <vt:variant>
        <vt:i4>0</vt:i4>
      </vt:variant>
      <vt:variant>
        <vt:i4>5</vt:i4>
      </vt:variant>
      <vt:variant>
        <vt:lpwstr>http://constitution.org/cons/italy.txt</vt:lpwstr>
      </vt:variant>
      <vt:variant>
        <vt:lpwstr/>
      </vt:variant>
      <vt:variant>
        <vt:i4>6225940</vt:i4>
      </vt:variant>
      <vt:variant>
        <vt:i4>0</vt:i4>
      </vt:variant>
      <vt:variant>
        <vt:i4>0</vt:i4>
      </vt:variant>
      <vt:variant>
        <vt:i4>5</vt:i4>
      </vt:variant>
      <vt:variant>
        <vt:lpwstr>http://constitution.org/cons/germany.txt</vt:lpwstr>
      </vt:variant>
      <vt:variant>
        <vt:lpwstr/>
      </vt:variant>
      <vt:variant>
        <vt:i4>4522080</vt:i4>
      </vt:variant>
      <vt:variant>
        <vt:i4>12</vt:i4>
      </vt:variant>
      <vt:variant>
        <vt:i4>0</vt:i4>
      </vt:variant>
      <vt:variant>
        <vt:i4>5</vt:i4>
      </vt:variant>
      <vt:variant>
        <vt:lpwstr>http://www.servat.unibe.ch/icl/it00000_.html</vt:lpwstr>
      </vt:variant>
      <vt:variant>
        <vt:lpwstr/>
      </vt:variant>
      <vt:variant>
        <vt:i4>2293866</vt:i4>
      </vt:variant>
      <vt:variant>
        <vt:i4>9</vt:i4>
      </vt:variant>
      <vt:variant>
        <vt:i4>0</vt:i4>
      </vt:variant>
      <vt:variant>
        <vt:i4>5</vt:i4>
      </vt:variant>
      <vt:variant>
        <vt:lpwstr>http://constitution.org/cons/italy.txt</vt:lpwstr>
      </vt:variant>
      <vt:variant>
        <vt:lpwstr/>
      </vt:variant>
      <vt:variant>
        <vt:i4>4063342</vt:i4>
      </vt:variant>
      <vt:variant>
        <vt:i4>6</vt:i4>
      </vt:variant>
      <vt:variant>
        <vt:i4>0</vt:i4>
      </vt:variant>
      <vt:variant>
        <vt:i4>5</vt:i4>
      </vt:variant>
      <vt:variant>
        <vt:lpwstr>http://www.assemblee-nationale.fr/connaissance/constitution.asp</vt:lpwstr>
      </vt:variant>
      <vt:variant>
        <vt:lpwstr/>
      </vt:variant>
      <vt:variant>
        <vt:i4>6225940</vt:i4>
      </vt:variant>
      <vt:variant>
        <vt:i4>3</vt:i4>
      </vt:variant>
      <vt:variant>
        <vt:i4>0</vt:i4>
      </vt:variant>
      <vt:variant>
        <vt:i4>5</vt:i4>
      </vt:variant>
      <vt:variant>
        <vt:lpwstr>http://constitution.org/cons/germany.txt</vt:lpwstr>
      </vt:variant>
      <vt:variant>
        <vt:lpwstr/>
      </vt:variant>
      <vt:variant>
        <vt:i4>6226020</vt:i4>
      </vt:variant>
      <vt:variant>
        <vt:i4>0</vt:i4>
      </vt:variant>
      <vt:variant>
        <vt:i4>0</vt:i4>
      </vt:variant>
      <vt:variant>
        <vt:i4>5</vt:i4>
      </vt:variant>
      <vt:variant>
        <vt:lpwstr>http://www.tdk.gov.tr/index.php?option=com_gts&amp;arama=gts&amp;guid=TDK.GTS.4f257f68df2186.17280171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FARKLI SİYASİ FİKİR AKIMLARININ ANAYASA İLE İLİŞKİLENDİRİLMESİ ÜZERİNE BİR İNCELEME</dc:title>
  <dc:creator>fARUk</dc:creator>
  <cp:lastModifiedBy>Berna Capcioglu Pehlevan</cp:lastModifiedBy>
  <cp:revision>2</cp:revision>
  <dcterms:created xsi:type="dcterms:W3CDTF">2012-10-08T12:13:00Z</dcterms:created>
  <dcterms:modified xsi:type="dcterms:W3CDTF">2012-10-08T12:13:00Z</dcterms:modified>
</cp:coreProperties>
</file>